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9A960" w14:textId="0C471C8A" w:rsidR="00EF28B7" w:rsidRPr="004E0F02" w:rsidRDefault="00BD5A37" w:rsidP="00E45B1D">
      <w:pPr>
        <w:pStyle w:val="OZNPROJEKTUwskazaniedatylubwersjiprojektu"/>
        <w:keepNext/>
      </w:pPr>
      <w:r>
        <w:t>`</w:t>
      </w:r>
      <w:r w:rsidR="00EF28B7" w:rsidRPr="004E0F02">
        <w:t xml:space="preserve">Projekt </w:t>
      </w:r>
      <w:r w:rsidR="0005300F">
        <w:t xml:space="preserve">z dnia </w:t>
      </w:r>
      <w:r w:rsidR="00CC1C71">
        <w:t>4</w:t>
      </w:r>
      <w:r w:rsidR="0005300F">
        <w:t xml:space="preserve"> </w:t>
      </w:r>
      <w:r w:rsidR="00CC1C71">
        <w:t>stycznia</w:t>
      </w:r>
      <w:r w:rsidR="0005300F">
        <w:t xml:space="preserve"> </w:t>
      </w:r>
      <w:r w:rsidR="00EF28B7" w:rsidRPr="004E0F02">
        <w:t>2020 r.</w:t>
      </w:r>
    </w:p>
    <w:p w14:paraId="3823B379" w14:textId="77777777" w:rsidR="00EF28B7" w:rsidRPr="004E0F02" w:rsidRDefault="00EF28B7" w:rsidP="00EF28B7">
      <w:pPr>
        <w:pStyle w:val="OZNRODZAKTUtznustawalubrozporzdzenieiorganwydajcy"/>
      </w:pPr>
      <w:r w:rsidRPr="004E0F02">
        <w:t>Ustawa</w:t>
      </w:r>
    </w:p>
    <w:p w14:paraId="4CA8FC80" w14:textId="77777777" w:rsidR="00EF28B7" w:rsidRPr="004E0F02" w:rsidRDefault="00EF28B7" w:rsidP="00EF28B7">
      <w:pPr>
        <w:pStyle w:val="DATAAKTUdatauchwalenialubwydaniaaktu"/>
      </w:pPr>
      <w:r w:rsidRPr="004E0F02">
        <w:t xml:space="preserve">z      </w:t>
      </w:r>
      <w:r w:rsidR="00804C4B" w:rsidRPr="004E0F02">
        <w:t xml:space="preserve">dnia </w:t>
      </w:r>
      <w:r w:rsidR="00CD2623" w:rsidRPr="004E0F02">
        <w:t>………….</w:t>
      </w:r>
      <w:r w:rsidRPr="004E0F02">
        <w:t xml:space="preserve">      </w:t>
      </w:r>
      <w:r w:rsidR="00B02447" w:rsidRPr="004E0F02">
        <w:t xml:space="preserve"> </w:t>
      </w:r>
      <w:r w:rsidRPr="004E0F02">
        <w:t xml:space="preserve">  202</w:t>
      </w:r>
      <w:r w:rsidR="003F3502" w:rsidRPr="004E0F02">
        <w:t>0 </w:t>
      </w:r>
      <w:r w:rsidRPr="004E0F02">
        <w:t>r.</w:t>
      </w:r>
    </w:p>
    <w:p w14:paraId="09EBA8A6" w14:textId="77777777" w:rsidR="00EF28B7" w:rsidRPr="004E0F02" w:rsidRDefault="00EF28B7" w:rsidP="00EF28B7">
      <w:pPr>
        <w:pStyle w:val="TYTUAKTUprzedmiotregulacjiustawylubrozporzdzenia"/>
      </w:pPr>
      <w:r w:rsidRPr="004E0F02">
        <w:t>o otwartych danych i ponownym wykorzystywaniu informacji sektora publicznego</w:t>
      </w:r>
      <w:r w:rsidRPr="004E0F02">
        <w:rPr>
          <w:rStyle w:val="IGindeksgrny"/>
        </w:rPr>
        <w:footnoteReference w:id="1"/>
      </w:r>
      <w:r w:rsidRPr="004E0F02">
        <w:rPr>
          <w:rStyle w:val="IGindeksgrny"/>
        </w:rPr>
        <w:t>)</w:t>
      </w:r>
      <w:r w:rsidR="005F71E2" w:rsidRPr="004E0F02">
        <w:rPr>
          <w:rStyle w:val="Odwoanieprzypisudolnego"/>
        </w:rPr>
        <w:footnoteReference w:id="2"/>
      </w:r>
      <w:r w:rsidR="005F71E2" w:rsidRPr="004E0F02">
        <w:rPr>
          <w:rStyle w:val="IGindeksgrny"/>
        </w:rPr>
        <w:t>)</w:t>
      </w:r>
    </w:p>
    <w:p w14:paraId="30B19C3B" w14:textId="77777777" w:rsidR="00EF28B7" w:rsidRPr="004E0F02" w:rsidRDefault="00EF28B7" w:rsidP="00DD384E">
      <w:pPr>
        <w:pStyle w:val="ROZDZODDZOZNoznaczenierozdziauluboddziau"/>
        <w:rPr>
          <w:rStyle w:val="Ppogrubienie"/>
          <w:b w:val="0"/>
        </w:rPr>
      </w:pPr>
      <w:r w:rsidRPr="004E0F02">
        <w:rPr>
          <w:rStyle w:val="Ppogrubienie"/>
          <w:b w:val="0"/>
        </w:rPr>
        <w:t>Rozdział 1</w:t>
      </w:r>
    </w:p>
    <w:p w14:paraId="28C3588E" w14:textId="77777777" w:rsidR="00EF28B7" w:rsidRPr="004E0F02" w:rsidRDefault="00EF28B7" w:rsidP="00E45B1D">
      <w:pPr>
        <w:pStyle w:val="ROZDZODDZPRZEDMprzedmiotregulacjirozdziauluboddziau"/>
      </w:pPr>
      <w:r w:rsidRPr="004E0F02">
        <w:t>Przepisy ogólne</w:t>
      </w:r>
    </w:p>
    <w:p w14:paraId="6929003F" w14:textId="010B1D82" w:rsidR="00EF28B7" w:rsidRPr="004E0F02" w:rsidRDefault="00EF28B7" w:rsidP="00EF28B7">
      <w:pPr>
        <w:pStyle w:val="ARTartustawynprozporzdzenia"/>
      </w:pPr>
      <w:r w:rsidRPr="004E0F02">
        <w:rPr>
          <w:rStyle w:val="Ppogrubienie"/>
        </w:rPr>
        <w:t>Art. 1.</w:t>
      </w:r>
      <w:r w:rsidR="00844A4E" w:rsidRPr="004E0F02">
        <w:t xml:space="preserve"> </w:t>
      </w:r>
      <w:r w:rsidRPr="004E0F02">
        <w:t xml:space="preserve">Ustawa określa zasady </w:t>
      </w:r>
      <w:r w:rsidR="00844A4E" w:rsidRPr="004E0F02">
        <w:t xml:space="preserve">otwartości </w:t>
      </w:r>
      <w:r w:rsidRPr="004E0F02">
        <w:t>danych</w:t>
      </w:r>
      <w:r w:rsidR="00D03DF1" w:rsidRPr="004E0F02">
        <w:t>,</w:t>
      </w:r>
      <w:r w:rsidRPr="004E0F02">
        <w:t xml:space="preserve"> zasady</w:t>
      </w:r>
      <w:r w:rsidR="00E45B1D" w:rsidRPr="004E0F02">
        <w:t xml:space="preserve"> i </w:t>
      </w:r>
      <w:r w:rsidRPr="004E0F02">
        <w:t>tryb udostępniania i przekazywania informacji sektora publicznego</w:t>
      </w:r>
      <w:r w:rsidR="00E45B1D" w:rsidRPr="004E0F02">
        <w:t xml:space="preserve"> w </w:t>
      </w:r>
      <w:r w:rsidRPr="004E0F02">
        <w:t xml:space="preserve">celu ponownego wykorzystywania </w:t>
      </w:r>
      <w:r w:rsidR="00D03DF1" w:rsidRPr="004E0F02">
        <w:t xml:space="preserve">oraz </w:t>
      </w:r>
      <w:r w:rsidRPr="004E0F02">
        <w:t>podmioty, które udostępniają lub przekazują te informacje</w:t>
      </w:r>
      <w:r w:rsidR="00D03DF1" w:rsidRPr="004E0F02">
        <w:t>.</w:t>
      </w:r>
      <w:r w:rsidRPr="004E0F02">
        <w:t xml:space="preserve"> </w:t>
      </w:r>
    </w:p>
    <w:p w14:paraId="64FB67B9" w14:textId="77777777" w:rsidR="00EF28B7" w:rsidRPr="004E0F02" w:rsidRDefault="00EF28B7" w:rsidP="00E45B1D">
      <w:pPr>
        <w:pStyle w:val="ARTartustawynprozporzdzenia"/>
        <w:keepNext/>
      </w:pPr>
      <w:r w:rsidRPr="004E0F02">
        <w:rPr>
          <w:rStyle w:val="Ppogrubienie"/>
        </w:rPr>
        <w:t>Art. 2.</w:t>
      </w:r>
      <w:r w:rsidRPr="004E0F02">
        <w:t> Użyte w ustawie określenia oznaczają:</w:t>
      </w:r>
    </w:p>
    <w:p w14:paraId="1BC70132" w14:textId="2277AC17" w:rsidR="00843E6B" w:rsidRPr="004E0F02" w:rsidRDefault="002965AC" w:rsidP="00843E6B">
      <w:pPr>
        <w:pStyle w:val="PKTpunkt"/>
      </w:pPr>
      <w:r w:rsidRPr="004E0F02">
        <w:t>1</w:t>
      </w:r>
      <w:r w:rsidR="00843E6B" w:rsidRPr="004E0F02">
        <w:t>)</w:t>
      </w:r>
      <w:r w:rsidR="00843E6B" w:rsidRPr="004E0F02">
        <w:tab/>
        <w:t xml:space="preserve">anonimizacja – proces zmiany informacji sektora publicznego w informacje anonimowe, które nie odnoszą się do zidentyfikowanej lub możliwej do zidentyfikowania osoby fizycznej, lub dane osobowe zanonimizowane w taki sposób, że identyfikacja osoby, której dane dotyczą, nie jest </w:t>
      </w:r>
      <w:r w:rsidR="0062365F" w:rsidRPr="004E0F02">
        <w:t xml:space="preserve">lub już nie jest </w:t>
      </w:r>
      <w:r w:rsidR="00843E6B" w:rsidRPr="004E0F02">
        <w:t>możliwa;</w:t>
      </w:r>
    </w:p>
    <w:p w14:paraId="3C859E9A" w14:textId="36467C16" w:rsidR="00843E6B" w:rsidRPr="004E0F02" w:rsidRDefault="00843E6B" w:rsidP="00843E6B">
      <w:pPr>
        <w:pStyle w:val="PKTpunkt"/>
      </w:pPr>
      <w:r w:rsidRPr="004E0F02">
        <w:t>2)</w:t>
      </w:r>
      <w:r w:rsidRPr="004E0F02">
        <w:tab/>
        <w:t xml:space="preserve">dane badawcze – informacje sektora publicznego </w:t>
      </w:r>
      <w:r w:rsidR="00BF16D0" w:rsidRPr="004E0F02">
        <w:t xml:space="preserve">utrwalone </w:t>
      </w:r>
      <w:r w:rsidRPr="004E0F02">
        <w:t>w postaci elektronicznej, inne niż publikacje naukowe,</w:t>
      </w:r>
      <w:r w:rsidR="00DC7191" w:rsidRPr="004E0F02">
        <w:t xml:space="preserve"> </w:t>
      </w:r>
      <w:r w:rsidRPr="004E0F02">
        <w:t>które zostały wytworzone lub zgromadzone w ramach działalności naukowej w rozumieniu</w:t>
      </w:r>
      <w:r w:rsidR="00E45B1D" w:rsidRPr="004E0F02">
        <w:t xml:space="preserve"> art. 4 </w:t>
      </w:r>
      <w:r w:rsidRPr="004E0F02">
        <w:t xml:space="preserve">ustawy </w:t>
      </w:r>
      <w:r w:rsidR="00D03DF1" w:rsidRPr="004E0F02">
        <w:t xml:space="preserve">z </w:t>
      </w:r>
      <w:r w:rsidR="00716DAE" w:rsidRPr="004E0F02">
        <w:t>dnia 20 lipca 2018 r. – Prawo o </w:t>
      </w:r>
      <w:r w:rsidR="00D03DF1" w:rsidRPr="004E0F02">
        <w:t xml:space="preserve">szkolnictwie wyższym i nauce (Dz. U. z 2020 r. poz. 85, 374, 695, 875 i 1086) </w:t>
      </w:r>
      <w:r w:rsidRPr="004E0F02">
        <w:t>i są wykorzystywane jako dowody w procesie badawczym lub służą weryfikacji poprawności ustaleń i wyników badań;</w:t>
      </w:r>
    </w:p>
    <w:p w14:paraId="6D223FB3" w14:textId="1F10E682" w:rsidR="00843E6B" w:rsidRPr="004E0F02" w:rsidRDefault="00843E6B" w:rsidP="00843E6B">
      <w:pPr>
        <w:pStyle w:val="PKTpunkt"/>
      </w:pPr>
      <w:r w:rsidRPr="004E0F02">
        <w:t>3)</w:t>
      </w:r>
      <w:r w:rsidRPr="004E0F02">
        <w:tab/>
        <w:t>dane dynamiczne – informacje sektora publicznego utrwalone w postaci elektronicznej podlegające częstym aktualizacjom lub aktualizacjom</w:t>
      </w:r>
      <w:r w:rsidR="00E45B1D" w:rsidRPr="004E0F02">
        <w:t xml:space="preserve"> w </w:t>
      </w:r>
      <w:r w:rsidRPr="004E0F02">
        <w:t xml:space="preserve">czasie rzeczywistym, </w:t>
      </w:r>
      <w:r w:rsidRPr="004E0F02">
        <w:lastRenderedPageBreak/>
        <w:t>w szczególności ze względu na ich zmienność lub szybką dezaktualizację; za dane dynamiczne w szczególności uznaje się dane wygenerowane przez czujniki;</w:t>
      </w:r>
    </w:p>
    <w:p w14:paraId="55F2BA5A" w14:textId="08A77754" w:rsidR="00843E6B" w:rsidRPr="004E0F02" w:rsidRDefault="00843E6B" w:rsidP="00843E6B">
      <w:pPr>
        <w:pStyle w:val="PKTpunkt"/>
      </w:pPr>
      <w:r w:rsidRPr="004E0F02">
        <w:t>4)</w:t>
      </w:r>
      <w:r w:rsidRPr="004E0F02">
        <w:tab/>
        <w:t>dane</w:t>
      </w:r>
      <w:r w:rsidR="00E45B1D" w:rsidRPr="004E0F02">
        <w:t xml:space="preserve"> o </w:t>
      </w:r>
      <w:r w:rsidRPr="004E0F02">
        <w:t>wysokiej wartości – informacje sektora publicznego, których ponowne wykorzystywanie wiąże się z istotnymi korzyściami dla społeczeństwa, środowiska i gospodarki, w szczególności ze względu na ich przydatność do tworzenia produktów, usług i zastosowań opartych na wykorzystaniu tych danych;</w:t>
      </w:r>
    </w:p>
    <w:p w14:paraId="5BE3E024" w14:textId="23E2ADAD" w:rsidR="00843E6B" w:rsidRPr="004E0F02" w:rsidRDefault="00843E6B" w:rsidP="00843E6B">
      <w:pPr>
        <w:pStyle w:val="PKTpunkt"/>
      </w:pPr>
      <w:r w:rsidRPr="004E0F02">
        <w:t>5)</w:t>
      </w:r>
      <w:r w:rsidRPr="004E0F02">
        <w:tab/>
        <w:t>dane prywatne – każdą treść lub jej część, niezależnie od sposobu utrwalenia, w szczególności w postaci papierowej, elektronicznej, dźwiękowej, wizualnej lub audiowizualnej, będącą w posiadaniu podmiotu innego niż podmiot zobowiązany i przez niego wytworzoną</w:t>
      </w:r>
      <w:r w:rsidR="00A36DD9" w:rsidRPr="004E0F02">
        <w:t>, z wyjątkiem danych osobowych</w:t>
      </w:r>
      <w:r w:rsidRPr="004E0F02">
        <w:t>;</w:t>
      </w:r>
    </w:p>
    <w:p w14:paraId="501AAFED" w14:textId="49131642" w:rsidR="00843E6B" w:rsidRPr="004E0F02" w:rsidRDefault="00843E6B" w:rsidP="00843E6B">
      <w:pPr>
        <w:pStyle w:val="PKTpunkt"/>
      </w:pPr>
      <w:r w:rsidRPr="004E0F02">
        <w:t>6)</w:t>
      </w:r>
      <w:r w:rsidRPr="004E0F02">
        <w:tab/>
        <w:t xml:space="preserve">format otwarty – format pliku, który jest </w:t>
      </w:r>
      <w:r w:rsidR="00811E7C" w:rsidRPr="004E0F02">
        <w:t xml:space="preserve">niezależny od systemu </w:t>
      </w:r>
      <w:r w:rsidRPr="004E0F02">
        <w:t>oraz jest udostępniany bez żadnych ograniczeń, które utrudniałyby ponowne wykorzystywanie;</w:t>
      </w:r>
    </w:p>
    <w:p w14:paraId="2ADBF1B0" w14:textId="1C626619" w:rsidR="00843E6B" w:rsidRPr="004E0F02" w:rsidRDefault="00843E6B" w:rsidP="00843E6B">
      <w:pPr>
        <w:pStyle w:val="PKTpunkt"/>
      </w:pPr>
      <w:r w:rsidRPr="004E0F02">
        <w:t>7)</w:t>
      </w:r>
      <w:r w:rsidRPr="004E0F02">
        <w:tab/>
        <w:t>format przeznaczony do odczytu maszynowego – format pliku ustrukturyzowany tak, aby programy komputerowe mogły łatwo zidentyfikować, rozpoznać i pozyskać określone dane i ich wewnętrzną strukturę</w:t>
      </w:r>
      <w:r w:rsidR="00811E7C" w:rsidRPr="004E0F02">
        <w:t xml:space="preserve"> bez utraty ich semantycznej interoperacyjności</w:t>
      </w:r>
      <w:r w:rsidRPr="004E0F02">
        <w:t>;</w:t>
      </w:r>
    </w:p>
    <w:p w14:paraId="52D3B791" w14:textId="77777777" w:rsidR="00843E6B" w:rsidRPr="004E0F02" w:rsidRDefault="00843E6B" w:rsidP="00843E6B">
      <w:pPr>
        <w:pStyle w:val="PKTpunkt"/>
      </w:pPr>
      <w:r w:rsidRPr="004E0F02">
        <w:t>8)</w:t>
      </w:r>
      <w:r w:rsidRPr="004E0F02">
        <w:tab/>
        <w:t>informacja sektora publicznego – każdą treść lub jej część, niezależnie od sposobu utrwalenia, w szczególności w postaci papierowej, elektronicznej, dźwiękowej, wizualnej lub audiowizualnej, będącą w posiadaniu podmiotu zobowiązanego;</w:t>
      </w:r>
    </w:p>
    <w:p w14:paraId="1F360C38" w14:textId="77777777" w:rsidR="00843E6B" w:rsidRPr="004E0F02" w:rsidRDefault="00843E6B" w:rsidP="00843E6B">
      <w:pPr>
        <w:pStyle w:val="PKTpunkt"/>
      </w:pPr>
      <w:r w:rsidRPr="004E0F02">
        <w:t>9)</w:t>
      </w:r>
      <w:r w:rsidRPr="004E0F02">
        <w:tab/>
        <w:t>interfejs programistyczny aplikacji – zbiór technicznych funkcji umożliwiających połączenie i wzajemną wymianę danych lub metadanych pomiędzy programami komputerowymi lub systemami teleinformatycznymi</w:t>
      </w:r>
      <w:r w:rsidR="005C0830" w:rsidRPr="004E0F02">
        <w:t>;</w:t>
      </w:r>
    </w:p>
    <w:p w14:paraId="777F9250" w14:textId="206F4880" w:rsidR="00843E6B" w:rsidRPr="004E0F02" w:rsidRDefault="00843E6B" w:rsidP="00843E6B">
      <w:pPr>
        <w:pStyle w:val="PKTpunkt"/>
      </w:pPr>
      <w:r w:rsidRPr="004E0F02">
        <w:t>10)</w:t>
      </w:r>
      <w:r w:rsidRPr="004E0F02">
        <w:tab/>
        <w:t>metadane – ustrukturyzowane informacje opisujące, tłumaczące, lokalizujące i ułatwiające odnalezienie, wykorzystanie lub zarządzanie informacjami, na które składają się w szczególności elementy, o których mowa w przepisach wydanych na podstawie</w:t>
      </w:r>
      <w:r w:rsidR="00E45B1D" w:rsidRPr="004E0F02">
        <w:t xml:space="preserve"> art. </w:t>
      </w:r>
      <w:r w:rsidR="003B78BF" w:rsidRPr="004E0F02">
        <w:t xml:space="preserve">37 </w:t>
      </w:r>
      <w:r w:rsidR="00E45B1D" w:rsidRPr="004E0F02">
        <w:t>ust. </w:t>
      </w:r>
      <w:r w:rsidRPr="004E0F02">
        <w:t>6;</w:t>
      </w:r>
    </w:p>
    <w:p w14:paraId="741CFC53" w14:textId="1C510D69" w:rsidR="00EF28B7" w:rsidRPr="004E0F02" w:rsidRDefault="002965AC" w:rsidP="00EF28B7">
      <w:pPr>
        <w:pStyle w:val="PKTpunkt"/>
      </w:pPr>
      <w:r w:rsidRPr="004E0F02">
        <w:t>11</w:t>
      </w:r>
      <w:r w:rsidR="00EF28B7" w:rsidRPr="004E0F02">
        <w:t>)</w:t>
      </w:r>
      <w:r w:rsidR="00EF28B7" w:rsidRPr="004E0F02">
        <w:tab/>
        <w:t xml:space="preserve">otwarte dane – informacje sektora publicznego </w:t>
      </w:r>
      <w:r w:rsidR="00196B01" w:rsidRPr="004E0F02">
        <w:t xml:space="preserve">udostępniane lub przekazywane </w:t>
      </w:r>
      <w:r w:rsidR="00F25C54" w:rsidRPr="004E0F02">
        <w:t>w postaci elektronicznej</w:t>
      </w:r>
      <w:r w:rsidR="00764FA5" w:rsidRPr="004E0F02">
        <w:t>,</w:t>
      </w:r>
      <w:r w:rsidR="00F25C54" w:rsidRPr="004E0F02">
        <w:t xml:space="preserve"> </w:t>
      </w:r>
      <w:r w:rsidR="00196B01" w:rsidRPr="004E0F02">
        <w:t xml:space="preserve"> kompl</w:t>
      </w:r>
      <w:r w:rsidR="00E424EB" w:rsidRPr="004E0F02">
        <w:t>etne, aktualne, niezastrzeżone</w:t>
      </w:r>
      <w:r w:rsidR="00F25C54" w:rsidRPr="004E0F02">
        <w:t xml:space="preserve">, </w:t>
      </w:r>
      <w:r w:rsidR="00196B01" w:rsidRPr="004E0F02">
        <w:t>w wersji źródłowej</w:t>
      </w:r>
      <w:r w:rsidR="001A1C16" w:rsidRPr="004E0F02">
        <w:t>,</w:t>
      </w:r>
      <w:r w:rsidR="00196B01" w:rsidRPr="004E0F02">
        <w:t xml:space="preserve"> w otwartym formacie przeznaczonym do odczytu maszynowego, do bezpłatnego ponownego wykorzystywania na tych samych zasadach dla każdego użytkownika,</w:t>
      </w:r>
      <w:r w:rsidR="00502F1F" w:rsidRPr="004E0F02">
        <w:t xml:space="preserve"> bez konieczności potwierdzania tożsamości</w:t>
      </w:r>
      <w:r w:rsidR="008A6725" w:rsidRPr="004E0F02">
        <w:t xml:space="preserve"> przez użytkownik</w:t>
      </w:r>
      <w:r w:rsidR="00716DAE" w:rsidRPr="004E0F02">
        <w:t>a</w:t>
      </w:r>
      <w:r w:rsidR="00502F1F" w:rsidRPr="004E0F02">
        <w:t xml:space="preserve">, </w:t>
      </w:r>
      <w:r w:rsidR="00196B01" w:rsidRPr="004E0F02">
        <w:t>bezwarunkowo lub z zastrzeżeniem warunków, o których mowa w rozdziale 3</w:t>
      </w:r>
      <w:r w:rsidR="00EF28B7" w:rsidRPr="004E0F02">
        <w:t>;</w:t>
      </w:r>
    </w:p>
    <w:p w14:paraId="4A92F12C" w14:textId="5F260515" w:rsidR="00843E6B" w:rsidRPr="004E0F02" w:rsidRDefault="00434AA5" w:rsidP="00843E6B">
      <w:pPr>
        <w:pStyle w:val="PKTpunkt"/>
      </w:pPr>
      <w:r w:rsidRPr="004E0F02">
        <w:t>12</w:t>
      </w:r>
      <w:r w:rsidR="00843E6B" w:rsidRPr="004E0F02">
        <w:t>)</w:t>
      </w:r>
      <w:r w:rsidR="00843E6B" w:rsidRPr="004E0F02">
        <w:tab/>
        <w:t xml:space="preserve">ponowne wykorzystywanie – wykorzystywanie przez użytkowników informacji sektora publicznego </w:t>
      </w:r>
      <w:r w:rsidR="000321B2" w:rsidRPr="004E0F02">
        <w:t xml:space="preserve">w jakimkolwiek innym celu </w:t>
      </w:r>
      <w:r w:rsidR="00843E6B" w:rsidRPr="004E0F02">
        <w:t xml:space="preserve">niż pierwotny publiczny cel, dla którego </w:t>
      </w:r>
      <w:r w:rsidR="00843E6B" w:rsidRPr="004E0F02">
        <w:lastRenderedPageBreak/>
        <w:t>informacja została wytworzona</w:t>
      </w:r>
      <w:r w:rsidR="00716DAE" w:rsidRPr="004E0F02">
        <w:t xml:space="preserve">, </w:t>
      </w:r>
      <w:r w:rsidR="003F56DB" w:rsidRPr="004E0F02">
        <w:t xml:space="preserve">przetworzona, </w:t>
      </w:r>
      <w:r w:rsidR="000321B2" w:rsidRPr="004E0F02">
        <w:t>pozyskana</w:t>
      </w:r>
      <w:r w:rsidR="000F45DA" w:rsidRPr="004E0F02">
        <w:t xml:space="preserve"> </w:t>
      </w:r>
      <w:r w:rsidR="003F56DB" w:rsidRPr="004E0F02">
        <w:t xml:space="preserve">lub </w:t>
      </w:r>
      <w:r w:rsidR="000321B2" w:rsidRPr="004E0F02">
        <w:t>zg</w:t>
      </w:r>
      <w:r w:rsidR="00C82FAE" w:rsidRPr="004E0F02">
        <w:t>ro</w:t>
      </w:r>
      <w:r w:rsidR="000321B2" w:rsidRPr="004E0F02">
        <w:t>madzona,</w:t>
      </w:r>
      <w:r w:rsidR="00843E6B" w:rsidRPr="004E0F02">
        <w:t xml:space="preserve"> z wyjątkiem wymiany informacji sektora publicznego pomiędzy podmiotami zobowiązanymi wyłącznie w celu realizacji zadań publicznych;</w:t>
      </w:r>
    </w:p>
    <w:p w14:paraId="023B0C17" w14:textId="4A3CCBDC" w:rsidR="00843E6B" w:rsidRPr="004E0F02" w:rsidRDefault="00434AA5" w:rsidP="00843E6B">
      <w:pPr>
        <w:pStyle w:val="PKTpunkt"/>
      </w:pPr>
      <w:r w:rsidRPr="004E0F02">
        <w:t>13</w:t>
      </w:r>
      <w:r w:rsidR="00843E6B" w:rsidRPr="004E0F02">
        <w:t>)</w:t>
      </w:r>
      <w:r w:rsidR="00843E6B" w:rsidRPr="004E0F02">
        <w:tab/>
        <w:t>portal danych – prowadzon</w:t>
      </w:r>
      <w:r w:rsidR="00C23353" w:rsidRPr="004E0F02">
        <w:t>y</w:t>
      </w:r>
      <w:r w:rsidR="00843E6B" w:rsidRPr="004E0F02">
        <w:t xml:space="preserve"> przez ministra właściwego do spraw informatyzacji,</w:t>
      </w:r>
      <w:r w:rsidR="00B25EFD" w:rsidRPr="004E0F02">
        <w:t xml:space="preserve"> </w:t>
      </w:r>
      <w:r w:rsidR="00843E6B" w:rsidRPr="004E0F02">
        <w:t>powszechnie dostępn</w:t>
      </w:r>
      <w:r w:rsidR="00C23353" w:rsidRPr="004E0F02">
        <w:t>y</w:t>
      </w:r>
      <w:r w:rsidR="00843E6B" w:rsidRPr="004E0F02">
        <w:t xml:space="preserve"> </w:t>
      </w:r>
      <w:r w:rsidR="00C23353" w:rsidRPr="004E0F02">
        <w:t>system</w:t>
      </w:r>
      <w:r w:rsidR="00843E6B" w:rsidRPr="004E0F02">
        <w:t xml:space="preserve"> teleinformatyczn</w:t>
      </w:r>
      <w:r w:rsidR="00C23353" w:rsidRPr="004E0F02">
        <w:t>y</w:t>
      </w:r>
      <w:r w:rsidR="00843E6B" w:rsidRPr="004E0F02">
        <w:t>, służąc</w:t>
      </w:r>
      <w:r w:rsidR="00C23353" w:rsidRPr="004E0F02">
        <w:t>y</w:t>
      </w:r>
      <w:r w:rsidR="00843E6B" w:rsidRPr="004E0F02">
        <w:t xml:space="preserve"> do udostępniania informacji sektora publicznego oraz danych prywatnych </w:t>
      </w:r>
      <w:r w:rsidR="00A03A7B" w:rsidRPr="004E0F02">
        <w:t xml:space="preserve">w celu </w:t>
      </w:r>
      <w:r w:rsidR="00843E6B" w:rsidRPr="004E0F02">
        <w:t>ponownego wykorzystywania</w:t>
      </w:r>
      <w:r w:rsidR="00946846" w:rsidRPr="004E0F02">
        <w:t>, określony jako adres strony internetowej www.dane.gov.pl</w:t>
      </w:r>
      <w:r w:rsidR="00843E6B" w:rsidRPr="004E0F02">
        <w:t>;</w:t>
      </w:r>
    </w:p>
    <w:p w14:paraId="2E4B7F6F" w14:textId="19659B41" w:rsidR="00843E6B" w:rsidRPr="004E0F02" w:rsidRDefault="00434AA5" w:rsidP="00843E6B">
      <w:pPr>
        <w:pStyle w:val="PKTpunkt"/>
      </w:pPr>
      <w:r w:rsidRPr="004E0F02">
        <w:t>14</w:t>
      </w:r>
      <w:r w:rsidR="00843E6B" w:rsidRPr="004E0F02">
        <w:t>)</w:t>
      </w:r>
      <w:r w:rsidR="00843E6B" w:rsidRPr="004E0F02">
        <w:tab/>
        <w:t>użytkownik – osobę fizyczną, osobę prawną lub jednostkę organizacyjną nieposiadającą osobowości prawnej, która ponownie wykorzystuje informacje sektora publicznego</w:t>
      </w:r>
      <w:r w:rsidR="00E4366A" w:rsidRPr="004E0F02">
        <w:t>.</w:t>
      </w:r>
    </w:p>
    <w:p w14:paraId="21649E32" w14:textId="04AE4EC0" w:rsidR="00EF28B7" w:rsidRPr="004E0F02" w:rsidRDefault="00EF28B7" w:rsidP="00E45B1D">
      <w:pPr>
        <w:pStyle w:val="ARTartustawynprozporzdzenia"/>
        <w:keepNext/>
      </w:pPr>
      <w:r w:rsidRPr="004E0F02">
        <w:rPr>
          <w:rStyle w:val="Ppogrubienie"/>
        </w:rPr>
        <w:t>Art.</w:t>
      </w:r>
      <w:r w:rsidRPr="004E0F02">
        <w:rPr>
          <w:rStyle w:val="Ppogrubienie"/>
        </w:rPr>
        <w:tab/>
        <w:t>3.</w:t>
      </w:r>
      <w:r w:rsidRPr="004E0F02">
        <w:t> Podmiotami zobowiązanymi do udostępniania lub przekazywania informacji sektora publicznego w celu ponownego wykorzystywania</w:t>
      </w:r>
      <w:r w:rsidR="00434AA5" w:rsidRPr="004E0F02">
        <w:t>, zwanymi dalej „podmiotami zobowiązanymi”</w:t>
      </w:r>
      <w:r w:rsidR="00F176C0" w:rsidRPr="004E0F02">
        <w:t>,</w:t>
      </w:r>
      <w:r w:rsidRPr="004E0F02">
        <w:t xml:space="preserve"> są:</w:t>
      </w:r>
    </w:p>
    <w:p w14:paraId="2C15989E" w14:textId="4D8AAFF4" w:rsidR="00EF28B7" w:rsidRPr="004E0F02" w:rsidRDefault="00EF28B7" w:rsidP="00EF28B7">
      <w:pPr>
        <w:pStyle w:val="PKTpunkt"/>
      </w:pPr>
      <w:r w:rsidRPr="004E0F02">
        <w:t>1)</w:t>
      </w:r>
      <w:r w:rsidRPr="004E0F02">
        <w:tab/>
        <w:t>jednostki sektora finansów publicznych w rozumieniu przepisów ustawy z dnia 27 sierpnia 2009 r. o finansach publicznych (</w:t>
      </w:r>
      <w:r w:rsidR="00E45B1D" w:rsidRPr="004E0F02">
        <w:t>Dz. U.</w:t>
      </w:r>
      <w:r w:rsidRPr="004E0F02">
        <w:t xml:space="preserve"> z 2019 r.</w:t>
      </w:r>
      <w:r w:rsidR="00E45B1D" w:rsidRPr="004E0F02">
        <w:t xml:space="preserve"> poz. </w:t>
      </w:r>
      <w:r w:rsidRPr="004E0F02">
        <w:t>869,</w:t>
      </w:r>
      <w:r w:rsidR="00253761" w:rsidRPr="004E0F02">
        <w:t xml:space="preserve"> z </w:t>
      </w:r>
      <w:r w:rsidR="0008236A" w:rsidRPr="004E0F02">
        <w:t>późn. zm.</w:t>
      </w:r>
      <w:r w:rsidR="0008236A" w:rsidRPr="004E0F02">
        <w:rPr>
          <w:rStyle w:val="Odwoanieprzypisudolnego"/>
        </w:rPr>
        <w:footnoteReference w:id="3"/>
      </w:r>
      <w:r w:rsidR="0008236A" w:rsidRPr="004E0F02">
        <w:rPr>
          <w:rStyle w:val="IGindeksgrny"/>
        </w:rPr>
        <w:t>)</w:t>
      </w:r>
      <w:r w:rsidRPr="004E0F02">
        <w:t>);</w:t>
      </w:r>
    </w:p>
    <w:p w14:paraId="538C9E91" w14:textId="19454647" w:rsidR="00EF28B7" w:rsidRPr="004E0F02" w:rsidRDefault="00EF28B7" w:rsidP="00EF28B7">
      <w:pPr>
        <w:pStyle w:val="PKTpunkt"/>
      </w:pPr>
      <w:r w:rsidRPr="004E0F02">
        <w:t>2)</w:t>
      </w:r>
      <w:r w:rsidRPr="004E0F02">
        <w:tab/>
        <w:t>inne niż określone</w:t>
      </w:r>
      <w:r w:rsidR="00E45B1D" w:rsidRPr="004E0F02">
        <w:t xml:space="preserve"> w pkt 1 </w:t>
      </w:r>
      <w:r w:rsidRPr="004E0F02">
        <w:t>państwowe jednostki organizacyjne nieposiadające osobowości prawnej;</w:t>
      </w:r>
    </w:p>
    <w:p w14:paraId="54AC1138" w14:textId="77687DCF" w:rsidR="00EF28B7" w:rsidRPr="004E0F02" w:rsidRDefault="00EF28B7" w:rsidP="00E45B1D">
      <w:pPr>
        <w:pStyle w:val="PKTpunkt"/>
        <w:keepNext/>
      </w:pPr>
      <w:r w:rsidRPr="004E0F02">
        <w:t>3)</w:t>
      </w:r>
      <w:r w:rsidRPr="004E0F02">
        <w:tab/>
        <w:t>inne niż określone</w:t>
      </w:r>
      <w:r w:rsidR="00E45B1D" w:rsidRPr="004E0F02">
        <w:t xml:space="preserve"> w pkt </w:t>
      </w:r>
      <w:r w:rsidR="00253761" w:rsidRPr="004E0F02">
        <w:t>1 </w:t>
      </w:r>
      <w:r w:rsidRPr="004E0F02">
        <w:t>osoby prawne, utworzone w szczególnym celu zaspokajania potrzeb o charakterze powszechnym, niemających charakteru przemysłowego ani handlowego, jeżeli podmioty</w:t>
      </w:r>
      <w:r w:rsidR="00F675EE" w:rsidRPr="004E0F02">
        <w:t xml:space="preserve"> te</w:t>
      </w:r>
      <w:r w:rsidRPr="004E0F02">
        <w:t xml:space="preserve"> oraz</w:t>
      </w:r>
      <w:r w:rsidR="003F3502" w:rsidRPr="004E0F02">
        <w:t xml:space="preserve"> </w:t>
      </w:r>
      <w:r w:rsidR="008A54A9" w:rsidRPr="004E0F02">
        <w:t>podmioty,</w:t>
      </w:r>
      <w:r w:rsidR="00253761" w:rsidRPr="004E0F02">
        <w:t xml:space="preserve"> o </w:t>
      </w:r>
      <w:r w:rsidR="008A54A9" w:rsidRPr="004E0F02">
        <w:t>których mowa</w:t>
      </w:r>
      <w:r w:rsidR="00E45B1D" w:rsidRPr="004E0F02">
        <w:t xml:space="preserve"> w pkt 1 i </w:t>
      </w:r>
      <w:r w:rsidRPr="004E0F02">
        <w:t>2, pojedynczo lub wspólnie, bezpośrednio albo pośrednio przez inny podmiot:</w:t>
      </w:r>
    </w:p>
    <w:p w14:paraId="681D6470" w14:textId="7F156228" w:rsidR="00EF28B7" w:rsidRPr="004E0F02" w:rsidRDefault="00EF28B7" w:rsidP="00EF28B7">
      <w:pPr>
        <w:pStyle w:val="LITlitera"/>
      </w:pPr>
      <w:r w:rsidRPr="004E0F02">
        <w:t>a)</w:t>
      </w:r>
      <w:r w:rsidRPr="004E0F02">
        <w:tab/>
        <w:t>finansują je</w:t>
      </w:r>
      <w:r w:rsidR="00E45B1D" w:rsidRPr="004E0F02">
        <w:t xml:space="preserve"> w </w:t>
      </w:r>
      <w:r w:rsidRPr="004E0F02">
        <w:t>ponad 50% lub</w:t>
      </w:r>
    </w:p>
    <w:p w14:paraId="4AA30763" w14:textId="77777777" w:rsidR="00EF28B7" w:rsidRPr="004E0F02" w:rsidRDefault="00EF28B7" w:rsidP="00EF28B7">
      <w:pPr>
        <w:pStyle w:val="LITlitera"/>
      </w:pPr>
      <w:r w:rsidRPr="004E0F02">
        <w:t>b)</w:t>
      </w:r>
      <w:r w:rsidRPr="004E0F02">
        <w:tab/>
        <w:t>posiadają ponad połowę udziałów albo akcji, lub</w:t>
      </w:r>
    </w:p>
    <w:p w14:paraId="6B5F2D9D" w14:textId="77777777" w:rsidR="00EF28B7" w:rsidRPr="004E0F02" w:rsidRDefault="00EF28B7" w:rsidP="00EF28B7">
      <w:pPr>
        <w:pStyle w:val="LITlitera"/>
      </w:pPr>
      <w:r w:rsidRPr="004E0F02">
        <w:t>c)</w:t>
      </w:r>
      <w:r w:rsidRPr="004E0F02">
        <w:tab/>
        <w:t>sprawują nadzór nad organem zarządzającym, lub</w:t>
      </w:r>
    </w:p>
    <w:p w14:paraId="3D65D945" w14:textId="77777777" w:rsidR="00EF28B7" w:rsidRPr="004E0F02" w:rsidRDefault="00EF28B7" w:rsidP="00EF28B7">
      <w:pPr>
        <w:pStyle w:val="LITlitera"/>
      </w:pPr>
      <w:r w:rsidRPr="004E0F02">
        <w:t>d)</w:t>
      </w:r>
      <w:r w:rsidRPr="004E0F02">
        <w:tab/>
        <w:t>mają prawo do powoływania ponad połowy składu organu nadzorczego lub zarządzającego;</w:t>
      </w:r>
    </w:p>
    <w:p w14:paraId="074D0203" w14:textId="26E8FB51" w:rsidR="00EF28B7" w:rsidRPr="004E0F02" w:rsidRDefault="00EF28B7" w:rsidP="00EF28B7">
      <w:pPr>
        <w:pStyle w:val="PKTpunkt"/>
      </w:pPr>
      <w:r w:rsidRPr="004E0F02">
        <w:t>4)</w:t>
      </w:r>
      <w:r w:rsidRPr="004E0F02">
        <w:tab/>
        <w:t>związki podmiotów, o których mowa</w:t>
      </w:r>
      <w:r w:rsidR="00E45B1D" w:rsidRPr="004E0F02">
        <w:t xml:space="preserve"> w pkt </w:t>
      </w:r>
      <w:r w:rsidR="003F3502" w:rsidRPr="004E0F02">
        <w:t>1</w:t>
      </w:r>
      <w:r w:rsidR="00B24F54" w:rsidRPr="004E0F02">
        <w:t>–</w:t>
      </w:r>
      <w:r w:rsidR="00267488" w:rsidRPr="004E0F02">
        <w:t>3</w:t>
      </w:r>
      <w:r w:rsidR="00EA3C3A">
        <w:t>;</w:t>
      </w:r>
    </w:p>
    <w:p w14:paraId="3052EDAE" w14:textId="023B7172" w:rsidR="00EF28B7" w:rsidRPr="004E0F02" w:rsidRDefault="00EF28B7" w:rsidP="00E45B1D">
      <w:pPr>
        <w:pStyle w:val="PKTpunkt"/>
        <w:keepNext/>
      </w:pPr>
      <w:r w:rsidRPr="004E0F02">
        <w:t>5)</w:t>
      </w:r>
      <w:r w:rsidRPr="004E0F02">
        <w:tab/>
        <w:t>inne niż określone</w:t>
      </w:r>
      <w:r w:rsidR="00E45B1D" w:rsidRPr="004E0F02">
        <w:t xml:space="preserve"> w pkt </w:t>
      </w:r>
      <w:r w:rsidR="003F3502" w:rsidRPr="004E0F02">
        <w:t>1</w:t>
      </w:r>
      <w:r w:rsidR="00B24F54" w:rsidRPr="004E0F02">
        <w:t>–</w:t>
      </w:r>
      <w:r w:rsidR="00253761" w:rsidRPr="004E0F02">
        <w:t>4 </w:t>
      </w:r>
      <w:r w:rsidRPr="004E0F02">
        <w:t>podmioty, które:</w:t>
      </w:r>
    </w:p>
    <w:p w14:paraId="7874F5B6" w14:textId="1C1AD8A8" w:rsidR="00EF28B7" w:rsidRPr="004E0F02" w:rsidRDefault="00EF28B7" w:rsidP="00EF28B7">
      <w:pPr>
        <w:pStyle w:val="LITlitera"/>
      </w:pPr>
      <w:r w:rsidRPr="004E0F02">
        <w:t>a)</w:t>
      </w:r>
      <w:r w:rsidRPr="004E0F02">
        <w:tab/>
        <w:t>wykonują jeden z rodzajów działalności sektorowej, o której mowa</w:t>
      </w:r>
      <w:r w:rsidR="00E45B1D" w:rsidRPr="004E0F02">
        <w:t xml:space="preserve"> w art. 5 ust. </w:t>
      </w:r>
      <w:r w:rsidRPr="004E0F02">
        <w:t>4 ustawy z dnia 11 września 2019 r. – Prawo zamówień publicznych (</w:t>
      </w:r>
      <w:r w:rsidR="00E45B1D" w:rsidRPr="004E0F02">
        <w:t>Dz. U.</w:t>
      </w:r>
      <w:r w:rsidRPr="004E0F02">
        <w:t xml:space="preserve"> z 2019 r.</w:t>
      </w:r>
      <w:r w:rsidR="00E45B1D" w:rsidRPr="004E0F02">
        <w:t xml:space="preserve"> poz. </w:t>
      </w:r>
      <w:r w:rsidRPr="004E0F02">
        <w:t>201</w:t>
      </w:r>
      <w:r w:rsidR="00E45B1D" w:rsidRPr="004E0F02">
        <w:t>9 oraz</w:t>
      </w:r>
      <w:r w:rsidR="00253761" w:rsidRPr="004E0F02">
        <w:t xml:space="preserve"> z </w:t>
      </w:r>
      <w:r w:rsidR="004B705F" w:rsidRPr="004E0F02">
        <w:t>202</w:t>
      </w:r>
      <w:r w:rsidR="00253761" w:rsidRPr="004E0F02">
        <w:t>0 </w:t>
      </w:r>
      <w:r w:rsidR="004B705F" w:rsidRPr="004E0F02">
        <w:t>r.</w:t>
      </w:r>
      <w:r w:rsidR="00E45B1D" w:rsidRPr="004E0F02">
        <w:t xml:space="preserve"> poz. </w:t>
      </w:r>
      <w:r w:rsidR="004B705F" w:rsidRPr="004E0F02">
        <w:t>288</w:t>
      </w:r>
      <w:r w:rsidR="00821EE3" w:rsidRPr="004E0F02">
        <w:t>, 1492 i 1517</w:t>
      </w:r>
      <w:r w:rsidRPr="004E0F02">
        <w:t>), lub</w:t>
      </w:r>
    </w:p>
    <w:p w14:paraId="3A034E97" w14:textId="2EC85657" w:rsidR="00D731CB" w:rsidRPr="004E0F02" w:rsidRDefault="00EF28B7" w:rsidP="00D731CB">
      <w:pPr>
        <w:pStyle w:val="LITlitera"/>
      </w:pPr>
      <w:r w:rsidRPr="004E0F02">
        <w:lastRenderedPageBreak/>
        <w:t>b)</w:t>
      </w:r>
      <w:r w:rsidRPr="004E0F02">
        <w:tab/>
        <w:t>działają w charakterze podmiotów świadczących usługi publiczne zgodnie</w:t>
      </w:r>
      <w:r w:rsidR="00E45B1D" w:rsidRPr="004E0F02">
        <w:t xml:space="preserve"> z art. </w:t>
      </w:r>
      <w:r w:rsidRPr="004E0F02">
        <w:t>2 rozporządzenia (WE)</w:t>
      </w:r>
      <w:r w:rsidR="00E45B1D" w:rsidRPr="004E0F02">
        <w:t xml:space="preserve"> nr </w:t>
      </w:r>
      <w:r w:rsidRPr="004E0F02">
        <w:t>1370/2007 Parlamentu Europejskiego i Rady z dnia 23 października 2007 r. dotyczącego usług publicznych w zakresie kolejowego i drogowego transportu pasażerskiego oraz uchylającego rozporządzenia Rady (EWG)</w:t>
      </w:r>
      <w:r w:rsidR="00E45B1D" w:rsidRPr="004E0F02">
        <w:t xml:space="preserve"> nr </w:t>
      </w:r>
      <w:r w:rsidRPr="004E0F02">
        <w:t>1191/6</w:t>
      </w:r>
      <w:r w:rsidR="00E45B1D" w:rsidRPr="004E0F02">
        <w:t>9 i </w:t>
      </w:r>
      <w:r w:rsidR="005C4C88" w:rsidRPr="004E0F02">
        <w:t>(EWG)</w:t>
      </w:r>
      <w:r w:rsidR="00E45B1D" w:rsidRPr="004E0F02">
        <w:t xml:space="preserve"> nr </w:t>
      </w:r>
      <w:r w:rsidRPr="004E0F02">
        <w:t>1107/70 (Dz. Urz</w:t>
      </w:r>
      <w:r w:rsidR="005C4C88" w:rsidRPr="004E0F02">
        <w:t>.</w:t>
      </w:r>
      <w:r w:rsidRPr="004E0F02">
        <w:t xml:space="preserve"> UE L 315 z 03.12.2007, str. 1</w:t>
      </w:r>
      <w:r w:rsidR="006F1EE3" w:rsidRPr="004E0F02">
        <w:t>,</w:t>
      </w:r>
      <w:r w:rsidR="00E45B1D" w:rsidRPr="004E0F02">
        <w:t xml:space="preserve"> z </w:t>
      </w:r>
      <w:r w:rsidR="006F1EE3" w:rsidRPr="004E0F02">
        <w:t>późn. zm.</w:t>
      </w:r>
      <w:r w:rsidR="00D731CB" w:rsidRPr="004E0F02">
        <w:rPr>
          <w:rStyle w:val="Odwoanieprzypisudolnego"/>
        </w:rPr>
        <w:t xml:space="preserve"> </w:t>
      </w:r>
      <w:r w:rsidR="00D731CB" w:rsidRPr="004E0F02">
        <w:rPr>
          <w:rStyle w:val="Odwoanieprzypisudolnego"/>
        </w:rPr>
        <w:footnoteReference w:id="4"/>
      </w:r>
      <w:r w:rsidR="00D731CB" w:rsidRPr="004E0F02">
        <w:rPr>
          <w:rStyle w:val="Odwoanieprzypisudolnego"/>
        </w:rPr>
        <w:t>)</w:t>
      </w:r>
      <w:r w:rsidR="00D731CB" w:rsidRPr="004E0F02">
        <w:t>), lub</w:t>
      </w:r>
    </w:p>
    <w:p w14:paraId="66EB35A6" w14:textId="617215AC" w:rsidR="00EF28B7" w:rsidRPr="004E0F02" w:rsidRDefault="00EF28B7" w:rsidP="00EF28B7">
      <w:pPr>
        <w:pStyle w:val="LITlitera"/>
      </w:pPr>
      <w:r w:rsidRPr="004E0F02">
        <w:t>c)</w:t>
      </w:r>
      <w:r w:rsidRPr="004E0F02">
        <w:tab/>
        <w:t>działają w charakterze przewoźników lotniczych wykonujących obowiązki użyteczności publicznej zgodnie</w:t>
      </w:r>
      <w:r w:rsidR="00E45B1D" w:rsidRPr="004E0F02">
        <w:t xml:space="preserve"> z art. </w:t>
      </w:r>
      <w:r w:rsidRPr="004E0F02">
        <w:t>16 rozporządzenia Parlamentu Europejskiego i Rady (WE)</w:t>
      </w:r>
      <w:r w:rsidR="00E45B1D" w:rsidRPr="004E0F02">
        <w:t xml:space="preserve"> nr </w:t>
      </w:r>
      <w:r w:rsidRPr="004E0F02">
        <w:t>1008/2008 z dnia 24 września 2008 r. w sprawie wspólnych zasad wykonywania przewozów lotniczych na terenie Wspólnoty</w:t>
      </w:r>
      <w:r w:rsidR="00C26D40" w:rsidRPr="004E0F02">
        <w:t xml:space="preserve"> (Wersja przekształcona)</w:t>
      </w:r>
      <w:r w:rsidRPr="004E0F02">
        <w:t xml:space="preserve"> (Dz. Urz</w:t>
      </w:r>
      <w:r w:rsidR="005C4C88" w:rsidRPr="004E0F02">
        <w:t>.</w:t>
      </w:r>
      <w:r w:rsidRPr="004E0F02">
        <w:t xml:space="preserve"> UE L 293</w:t>
      </w:r>
      <w:r w:rsidR="003F3502" w:rsidRPr="004E0F02">
        <w:t> z </w:t>
      </w:r>
      <w:r w:rsidRPr="004E0F02">
        <w:t>31.10.2008, str. 3</w:t>
      </w:r>
      <w:r w:rsidR="00112758" w:rsidRPr="004E0F02">
        <w:t>,</w:t>
      </w:r>
      <w:r w:rsidR="00E45B1D" w:rsidRPr="004E0F02">
        <w:t xml:space="preserve"> z </w:t>
      </w:r>
      <w:r w:rsidR="00112758" w:rsidRPr="004E0F02">
        <w:t>późn. zm.</w:t>
      </w:r>
      <w:r w:rsidR="006B733E" w:rsidRPr="004E0F02">
        <w:rPr>
          <w:rStyle w:val="Odwoanieprzypisudolnego"/>
        </w:rPr>
        <w:footnoteReference w:id="5"/>
      </w:r>
      <w:r w:rsidR="006B733E" w:rsidRPr="004E0F02">
        <w:rPr>
          <w:rStyle w:val="Odwoanieprzypisudolnego"/>
        </w:rPr>
        <w:t>)</w:t>
      </w:r>
      <w:r w:rsidRPr="004E0F02">
        <w:t>), lub</w:t>
      </w:r>
    </w:p>
    <w:p w14:paraId="687613DE" w14:textId="70B643CB" w:rsidR="00EF28B7" w:rsidRPr="004E0F02" w:rsidRDefault="00EF28B7" w:rsidP="00E45B1D">
      <w:pPr>
        <w:pStyle w:val="LITlitera"/>
        <w:keepNext/>
      </w:pPr>
      <w:r w:rsidRPr="004E0F02">
        <w:t>d)</w:t>
      </w:r>
      <w:r w:rsidRPr="004E0F02">
        <w:tab/>
        <w:t>działają w charakterze armatorów Wspólnoty wykonujących zobowiązania z tytułu świadczenia usług publicznych zgodnie</w:t>
      </w:r>
      <w:r w:rsidR="00E45B1D" w:rsidRPr="004E0F02">
        <w:t xml:space="preserve"> z art. </w:t>
      </w:r>
      <w:r w:rsidRPr="004E0F02">
        <w:t>4 rozporządzenia Rady (EWG)</w:t>
      </w:r>
      <w:r w:rsidR="00E45B1D" w:rsidRPr="004E0F02">
        <w:t xml:space="preserve"> nr </w:t>
      </w:r>
      <w:r w:rsidRPr="004E0F02">
        <w:t xml:space="preserve">3577/92 z dnia 7 grudnia 1992 r. dotyczącego stosowania zasady swobody świadczenia usług w transporcie morskim w obrębie </w:t>
      </w:r>
      <w:r w:rsidR="004616F8" w:rsidRPr="004E0F02">
        <w:t>P</w:t>
      </w:r>
      <w:r w:rsidRPr="004E0F02">
        <w:t xml:space="preserve">aństw </w:t>
      </w:r>
      <w:r w:rsidR="004616F8" w:rsidRPr="004E0F02">
        <w:t>C</w:t>
      </w:r>
      <w:r w:rsidRPr="004E0F02">
        <w:t xml:space="preserve">złonkowskich (kabotaż morski) (Dz. Urz. </w:t>
      </w:r>
      <w:r w:rsidR="00CA0062" w:rsidRPr="004E0F02">
        <w:t xml:space="preserve">WE </w:t>
      </w:r>
      <w:r w:rsidRPr="004E0F02">
        <w:t>L 364 z 12.12.1992, str. 7</w:t>
      </w:r>
      <w:r w:rsidR="00BF38CD" w:rsidRPr="004E0F02">
        <w:t>;</w:t>
      </w:r>
      <w:r w:rsidR="00CA0062" w:rsidRPr="004E0F02">
        <w:t xml:space="preserve"> Dz. Urz. UE Polskie wydanie specjalne rozdz. 6,</w:t>
      </w:r>
      <w:r w:rsidR="00E45B1D" w:rsidRPr="004E0F02">
        <w:t xml:space="preserve"> t. </w:t>
      </w:r>
      <w:r w:rsidR="00CA0062" w:rsidRPr="004E0F02">
        <w:t>2, str. 10</w:t>
      </w:r>
      <w:r w:rsidR="00F606DA" w:rsidRPr="004E0F02">
        <w:t>,</w:t>
      </w:r>
      <w:r w:rsidR="00E45B1D" w:rsidRPr="004E0F02">
        <w:t xml:space="preserve"> z </w:t>
      </w:r>
      <w:r w:rsidR="00F606DA" w:rsidRPr="004E0F02">
        <w:t>późn. zm.</w:t>
      </w:r>
      <w:r w:rsidR="00F606DA" w:rsidRPr="004E0F02">
        <w:rPr>
          <w:rStyle w:val="Odwoanieprzypisudolnego"/>
        </w:rPr>
        <w:footnoteReference w:id="6"/>
      </w:r>
      <w:r w:rsidR="00F606DA" w:rsidRPr="004E0F02">
        <w:rPr>
          <w:rStyle w:val="Odwoanieprzypisudolnego"/>
        </w:rPr>
        <w:t>)</w:t>
      </w:r>
      <w:r w:rsidR="00BF38CD" w:rsidRPr="004E0F02">
        <w:t>)</w:t>
      </w:r>
    </w:p>
    <w:p w14:paraId="14E52170" w14:textId="210073EE" w:rsidR="00EF28B7" w:rsidRPr="004E0F02" w:rsidRDefault="00EF28B7" w:rsidP="00E45B1D">
      <w:pPr>
        <w:pStyle w:val="CZWSPLITczwsplnaliter"/>
        <w:keepNext/>
      </w:pPr>
      <w:r w:rsidRPr="004E0F02">
        <w:t>oraz na które podmioty, o których mowa</w:t>
      </w:r>
      <w:r w:rsidR="00E45B1D" w:rsidRPr="004E0F02">
        <w:t xml:space="preserve"> w pkt </w:t>
      </w:r>
      <w:r w:rsidR="003F3502" w:rsidRPr="004E0F02">
        <w:t>1</w:t>
      </w:r>
      <w:r w:rsidR="00DD6B74" w:rsidRPr="004E0F02">
        <w:t>–</w:t>
      </w:r>
      <w:r w:rsidRPr="004E0F02">
        <w:t>4, pojedynczo lub wspólnie, bezpośrednio lub pośrednio przez inny podmiot wywierają dominujący wpływ, w szczególności:</w:t>
      </w:r>
    </w:p>
    <w:p w14:paraId="35408DD8" w14:textId="2724B4B0" w:rsidR="00EF28B7" w:rsidRPr="004E0F02" w:rsidRDefault="00253761" w:rsidP="009861F0">
      <w:pPr>
        <w:pStyle w:val="TIRtiret"/>
      </w:pPr>
      <w:r w:rsidRPr="004E0F02">
        <w:softHyphen/>
      </w:r>
      <w:r w:rsidR="00AF626C" w:rsidRPr="004E0F02">
        <w:softHyphen/>
      </w:r>
      <w:r w:rsidR="00E45B1D" w:rsidRPr="004E0F02">
        <w:softHyphen/>
      </w:r>
      <w:r w:rsidR="00E45B1D" w:rsidRPr="004E0F02">
        <w:noBreakHyphen/>
      </w:r>
      <w:r w:rsidR="002168C6" w:rsidRPr="004E0F02">
        <w:tab/>
      </w:r>
      <w:r w:rsidR="00EF28B7" w:rsidRPr="004E0F02">
        <w:t>posiadają ponad połowę udziałów albo akcji, lub</w:t>
      </w:r>
    </w:p>
    <w:p w14:paraId="088E6E3D" w14:textId="6B4250B7" w:rsidR="00EF28B7" w:rsidRPr="004E0F02" w:rsidRDefault="00253761" w:rsidP="009861F0">
      <w:pPr>
        <w:pStyle w:val="TIRtiret"/>
      </w:pPr>
      <w:r w:rsidRPr="004E0F02">
        <w:softHyphen/>
      </w:r>
      <w:r w:rsidR="00AF626C" w:rsidRPr="004E0F02">
        <w:softHyphen/>
      </w:r>
      <w:r w:rsidR="00E45B1D" w:rsidRPr="004E0F02">
        <w:softHyphen/>
      </w:r>
      <w:r w:rsidR="00E45B1D" w:rsidRPr="004E0F02">
        <w:noBreakHyphen/>
      </w:r>
      <w:r w:rsidR="002168C6" w:rsidRPr="004E0F02">
        <w:tab/>
      </w:r>
      <w:r w:rsidR="00EF28B7" w:rsidRPr="004E0F02">
        <w:t>posiadają ponad połowę głosów wynikających z udziałów albo akcji, lub</w:t>
      </w:r>
    </w:p>
    <w:p w14:paraId="5B27DAAC" w14:textId="4FD7B29B" w:rsidR="00EF28B7" w:rsidRPr="004E0F02" w:rsidRDefault="00253761" w:rsidP="009861F0">
      <w:pPr>
        <w:pStyle w:val="TIRtiret"/>
      </w:pPr>
      <w:r w:rsidRPr="004E0F02">
        <w:softHyphen/>
      </w:r>
      <w:r w:rsidR="00AF626C" w:rsidRPr="004E0F02">
        <w:softHyphen/>
      </w:r>
      <w:r w:rsidR="00E45B1D" w:rsidRPr="004E0F02">
        <w:softHyphen/>
      </w:r>
      <w:r w:rsidR="00E45B1D" w:rsidRPr="004E0F02">
        <w:noBreakHyphen/>
      </w:r>
      <w:r w:rsidR="002168C6" w:rsidRPr="004E0F02">
        <w:tab/>
      </w:r>
      <w:r w:rsidR="00EF28B7" w:rsidRPr="004E0F02">
        <w:t>mają prawo do powoływania ponad połowy składu organu nadzorczego lub zarządzającego.</w:t>
      </w:r>
    </w:p>
    <w:p w14:paraId="22FCE163" w14:textId="77777777" w:rsidR="00EF28B7" w:rsidRPr="004E0F02" w:rsidRDefault="00EF28B7" w:rsidP="00E45B1D">
      <w:pPr>
        <w:pStyle w:val="ARTartustawynprozporzdzenia"/>
        <w:keepNext/>
      </w:pPr>
      <w:r w:rsidRPr="004E0F02">
        <w:rPr>
          <w:rStyle w:val="Ppogrubienie"/>
        </w:rPr>
        <w:lastRenderedPageBreak/>
        <w:t>Art.</w:t>
      </w:r>
      <w:r w:rsidRPr="004E0F02">
        <w:rPr>
          <w:rStyle w:val="Ppogrubienie"/>
        </w:rPr>
        <w:tab/>
        <w:t>4.</w:t>
      </w:r>
      <w:r w:rsidRPr="004E0F02">
        <w:t> </w:t>
      </w:r>
      <w:r w:rsidR="00EF012A" w:rsidRPr="004E0F02">
        <w:t xml:space="preserve">1. </w:t>
      </w:r>
      <w:r w:rsidRPr="004E0F02">
        <w:t>Przepisów ustawy nie stosuje się do informacji sektora publicznego będących w posiadaniu:</w:t>
      </w:r>
    </w:p>
    <w:p w14:paraId="5A5F51D4" w14:textId="364BF143" w:rsidR="00EF28B7" w:rsidRPr="004E0F02" w:rsidRDefault="00EF28B7" w:rsidP="00EF28B7">
      <w:pPr>
        <w:pStyle w:val="PKTpunkt"/>
      </w:pPr>
      <w:r w:rsidRPr="004E0F02">
        <w:t>1)</w:t>
      </w:r>
      <w:r w:rsidRPr="004E0F02">
        <w:tab/>
        <w:t>jednostek publicznej radiofonii i telewizji w rozumieniu przepisów ustawy z dnia 29 grudnia 1992 r. o radiofonii i telewizji (</w:t>
      </w:r>
      <w:r w:rsidR="00E45B1D" w:rsidRPr="004E0F02">
        <w:t>Dz. U.</w:t>
      </w:r>
      <w:r w:rsidR="00473093" w:rsidRPr="004E0F02">
        <w:t xml:space="preserve"> z 2020</w:t>
      </w:r>
      <w:r w:rsidRPr="004E0F02">
        <w:t> r.</w:t>
      </w:r>
      <w:r w:rsidR="00E45B1D" w:rsidRPr="004E0F02">
        <w:t xml:space="preserve"> poz. </w:t>
      </w:r>
      <w:r w:rsidR="00473093" w:rsidRPr="004E0F02">
        <w:t>805</w:t>
      </w:r>
      <w:r w:rsidRPr="004E0F02">
        <w:t>) oraz Polskiej Agencji Prasowej S.A.;</w:t>
      </w:r>
    </w:p>
    <w:p w14:paraId="15D31B11" w14:textId="054AC907" w:rsidR="00EF28B7" w:rsidRPr="004E0F02" w:rsidRDefault="00EF28B7" w:rsidP="00EF28B7">
      <w:pPr>
        <w:pStyle w:val="PKTpunkt"/>
      </w:pPr>
      <w:r w:rsidRPr="004E0F02">
        <w:t>2)</w:t>
      </w:r>
      <w:r w:rsidRPr="004E0F02">
        <w:tab/>
        <w:t>państwowych instytucji kultury, samorządowych instytucji kultury oraz innych podmiotów prowadzących działalność kulturalną, o której mowa</w:t>
      </w:r>
      <w:r w:rsidR="00E45B1D" w:rsidRPr="004E0F02">
        <w:t xml:space="preserve"> w art. </w:t>
      </w:r>
      <w:r w:rsidRPr="004E0F02">
        <w:t>2 ustawy z dnia 25 października 1991 r. o organizowaniu i prowadzeniu działalności kulturalnej (</w:t>
      </w:r>
      <w:r w:rsidR="00E45B1D" w:rsidRPr="004E0F02">
        <w:t>Dz. U.</w:t>
      </w:r>
      <w:r w:rsidRPr="004E0F02">
        <w:t xml:space="preserve"> z 20</w:t>
      </w:r>
      <w:r w:rsidR="00C20187" w:rsidRPr="004E0F02">
        <w:t>20</w:t>
      </w:r>
      <w:r w:rsidRPr="004E0F02">
        <w:t> r.</w:t>
      </w:r>
      <w:r w:rsidR="00E45B1D" w:rsidRPr="004E0F02">
        <w:t xml:space="preserve"> poz. </w:t>
      </w:r>
      <w:r w:rsidR="00C20187" w:rsidRPr="004E0F02">
        <w:t>194</w:t>
      </w:r>
      <w:r w:rsidRPr="004E0F02">
        <w:t>), z wyjątkiem muzeów państwowych i muzeów samorządowych w rozumieniu przepisów ustawy z dnia 21 listopada 1996 r. o muzeach (</w:t>
      </w:r>
      <w:r w:rsidR="00E45B1D" w:rsidRPr="004E0F02">
        <w:t>Dz. U.</w:t>
      </w:r>
      <w:r w:rsidR="00473093" w:rsidRPr="004E0F02">
        <w:t xml:space="preserve"> z 2020</w:t>
      </w:r>
      <w:r w:rsidRPr="004E0F02">
        <w:t> r.</w:t>
      </w:r>
      <w:r w:rsidR="00E45B1D" w:rsidRPr="004E0F02">
        <w:t xml:space="preserve"> poz. </w:t>
      </w:r>
      <w:r w:rsidR="00473093" w:rsidRPr="004E0F02">
        <w:t>902</w:t>
      </w:r>
      <w:r w:rsidRPr="004E0F02">
        <w:t>)</w:t>
      </w:r>
      <w:r w:rsidR="00261455" w:rsidRPr="004E0F02">
        <w:t xml:space="preserve"> oraz</w:t>
      </w:r>
      <w:r w:rsidRPr="004E0F02">
        <w:t xml:space="preserve"> bibliotek publicznych w rozumieniu przepisów ustawy z dnia 27 czerwca 1997 r. o bibliotekach (</w:t>
      </w:r>
      <w:r w:rsidR="00E45B1D" w:rsidRPr="004E0F02">
        <w:t>Dz. U.</w:t>
      </w:r>
      <w:r w:rsidRPr="004E0F02">
        <w:t xml:space="preserve"> z 201</w:t>
      </w:r>
      <w:r w:rsidR="00C20187" w:rsidRPr="004E0F02">
        <w:t>9</w:t>
      </w:r>
      <w:r w:rsidRPr="004E0F02">
        <w:t> r.</w:t>
      </w:r>
      <w:r w:rsidR="00E45B1D" w:rsidRPr="004E0F02">
        <w:t xml:space="preserve"> poz. </w:t>
      </w:r>
      <w:r w:rsidR="00C20187" w:rsidRPr="004E0F02">
        <w:t>1479</w:t>
      </w:r>
      <w:r w:rsidRPr="004E0F02">
        <w:t>);</w:t>
      </w:r>
    </w:p>
    <w:p w14:paraId="5EC227FA" w14:textId="2C7F1330" w:rsidR="00EF28B7" w:rsidRPr="004E0F02" w:rsidRDefault="00EF28B7" w:rsidP="00E45B1D">
      <w:pPr>
        <w:pStyle w:val="PKTpunkt"/>
        <w:keepNext/>
      </w:pPr>
      <w:r w:rsidRPr="004E0F02">
        <w:t>3)</w:t>
      </w:r>
      <w:r w:rsidRPr="004E0F02">
        <w:tab/>
        <w:t>podmiotów, o których mowa</w:t>
      </w:r>
      <w:r w:rsidR="00E45B1D" w:rsidRPr="004E0F02">
        <w:t xml:space="preserve"> w art. 7 ust. </w:t>
      </w:r>
      <w:r w:rsidRPr="004E0F02">
        <w:t xml:space="preserve">1 ustawy z dnia 20 lipca 2018 r. </w:t>
      </w:r>
      <w:r w:rsidR="00DD6B74" w:rsidRPr="004E0F02">
        <w:t>–</w:t>
      </w:r>
      <w:r w:rsidR="003F3502" w:rsidRPr="004E0F02">
        <w:t xml:space="preserve"> </w:t>
      </w:r>
      <w:r w:rsidRPr="004E0F02">
        <w:t>Prawo o szkolnictwie wyższym i nauce</w:t>
      </w:r>
      <w:r w:rsidR="00381215" w:rsidRPr="004E0F02">
        <w:t xml:space="preserve"> (Dz. U. z 2020 r. poz. 85, 374, 695, 875 i 1086)</w:t>
      </w:r>
      <w:r w:rsidR="00617436" w:rsidRPr="004E0F02">
        <w:t>,</w:t>
      </w:r>
      <w:r w:rsidRPr="004E0F02">
        <w:t xml:space="preserve"> z wyjątkiem:</w:t>
      </w:r>
    </w:p>
    <w:p w14:paraId="4B94280A" w14:textId="2BF80491" w:rsidR="00EF28B7" w:rsidRPr="004E0F02" w:rsidRDefault="00B4588A" w:rsidP="00EF28B7">
      <w:pPr>
        <w:pStyle w:val="LITlitera"/>
      </w:pPr>
      <w:r w:rsidRPr="004E0F02">
        <w:t>a)</w:t>
      </w:r>
      <w:r w:rsidR="00EF28B7" w:rsidRPr="004E0F02">
        <w:tab/>
        <w:t>bibliotek naukowych w rozumieniu przepisów ustawy z dnia 27 czerwca 1997 r. o bibliotekach,</w:t>
      </w:r>
    </w:p>
    <w:p w14:paraId="0DD0E166" w14:textId="64D4007F" w:rsidR="00EF28B7" w:rsidRPr="004E0F02" w:rsidRDefault="00B4588A" w:rsidP="00EF28B7">
      <w:pPr>
        <w:pStyle w:val="LITlitera"/>
      </w:pPr>
      <w:r w:rsidRPr="004E0F02">
        <w:t>b)</w:t>
      </w:r>
      <w:r w:rsidR="00EF28B7" w:rsidRPr="004E0F02">
        <w:tab/>
        <w:t>Instytutu Meteorologii i Gospodarki Wodnej – Państwowego Instytut Badawczego,</w:t>
      </w:r>
    </w:p>
    <w:p w14:paraId="2163D0C3" w14:textId="61A66E36" w:rsidR="00EF28B7" w:rsidRPr="004E0F02" w:rsidRDefault="00B4588A" w:rsidP="00EF28B7">
      <w:pPr>
        <w:pStyle w:val="LITlitera"/>
      </w:pPr>
      <w:r w:rsidRPr="004E0F02">
        <w:t>c)</w:t>
      </w:r>
      <w:r w:rsidR="00EF28B7" w:rsidRPr="004E0F02">
        <w:tab/>
        <w:t xml:space="preserve">Państwowego Instytutu Geologicznego </w:t>
      </w:r>
      <w:r w:rsidR="00B24F54" w:rsidRPr="004E0F02">
        <w:t>–</w:t>
      </w:r>
      <w:r w:rsidR="003F3502" w:rsidRPr="004E0F02">
        <w:t xml:space="preserve"> </w:t>
      </w:r>
      <w:r w:rsidR="00EF28B7" w:rsidRPr="004E0F02">
        <w:t>Państwowego Instytutu Badawczego</w:t>
      </w:r>
      <w:r w:rsidR="001B5F87" w:rsidRPr="004E0F02">
        <w:t>,</w:t>
      </w:r>
    </w:p>
    <w:p w14:paraId="4E739787" w14:textId="079773CD" w:rsidR="004034D5" w:rsidRPr="004E0F02" w:rsidRDefault="00B4588A" w:rsidP="004034D5">
      <w:pPr>
        <w:pStyle w:val="LITlitera"/>
      </w:pPr>
      <w:r w:rsidRPr="004E0F02">
        <w:t>d)</w:t>
      </w:r>
      <w:r w:rsidR="004034D5" w:rsidRPr="004E0F02">
        <w:tab/>
        <w:t xml:space="preserve">muzeów państwowych oraz muzeów samorządowych prowadzących </w:t>
      </w:r>
      <w:r w:rsidRPr="004E0F02">
        <w:t>działalnoś</w:t>
      </w:r>
      <w:r w:rsidR="00260287" w:rsidRPr="004E0F02">
        <w:t>ć</w:t>
      </w:r>
      <w:r w:rsidR="004034D5" w:rsidRPr="004E0F02">
        <w:t xml:space="preserve"> naukową</w:t>
      </w:r>
      <w:r w:rsidR="001B5F87" w:rsidRPr="004E0F02">
        <w:t>;</w:t>
      </w:r>
      <w:r w:rsidR="004034D5" w:rsidRPr="004E0F02">
        <w:t xml:space="preserve"> </w:t>
      </w:r>
    </w:p>
    <w:p w14:paraId="0D4C7FFE" w14:textId="3192B6D6" w:rsidR="00EF28B7" w:rsidRPr="004E0F02" w:rsidRDefault="00EF28B7" w:rsidP="00EF28B7">
      <w:pPr>
        <w:pStyle w:val="PKTpunkt"/>
      </w:pPr>
      <w:r w:rsidRPr="004E0F02">
        <w:t>4)</w:t>
      </w:r>
      <w:r w:rsidRPr="004E0F02">
        <w:tab/>
        <w:t>bibliotek naukowych</w:t>
      </w:r>
      <w:r w:rsidR="00B4588A" w:rsidRPr="004E0F02">
        <w:t xml:space="preserve"> w rozumieniu przepisów ust</w:t>
      </w:r>
      <w:r w:rsidR="00260287" w:rsidRPr="004E0F02">
        <w:t>awy z dnia 27 czerwca 1997 r. o </w:t>
      </w:r>
      <w:r w:rsidR="00B4588A" w:rsidRPr="004E0F02">
        <w:t>bibliotekach</w:t>
      </w:r>
      <w:r w:rsidRPr="004E0F02">
        <w:t>, których organizatorami nie są</w:t>
      </w:r>
      <w:r w:rsidR="00B4588A" w:rsidRPr="004E0F02">
        <w:t xml:space="preserve"> podmioty zobowi</w:t>
      </w:r>
      <w:r w:rsidR="00571162" w:rsidRPr="004E0F02">
        <w:t>ązane, o których mowa w </w:t>
      </w:r>
      <w:r w:rsidR="00B4588A" w:rsidRPr="004E0F02">
        <w:t>art. 3 pkt 1-4</w:t>
      </w:r>
      <w:r w:rsidRPr="004E0F02">
        <w:t>;</w:t>
      </w:r>
    </w:p>
    <w:p w14:paraId="4AD6DAC3" w14:textId="17650068" w:rsidR="00EF28B7" w:rsidRPr="004E0F02" w:rsidRDefault="00EF28B7" w:rsidP="00EF28B7">
      <w:pPr>
        <w:pStyle w:val="PKTpunkt"/>
      </w:pPr>
      <w:r w:rsidRPr="004E0F02">
        <w:t>5)</w:t>
      </w:r>
      <w:r w:rsidRPr="004E0F02">
        <w:tab/>
        <w:t>podmiotów, o których mowa</w:t>
      </w:r>
      <w:r w:rsidR="00E45B1D" w:rsidRPr="004E0F02">
        <w:t xml:space="preserve"> w art. </w:t>
      </w:r>
      <w:r w:rsidRPr="004E0F02">
        <w:t xml:space="preserve">2 ustawy z dnia 14 grudnia 2016 r. </w:t>
      </w:r>
      <w:r w:rsidR="00DD6B74" w:rsidRPr="004E0F02">
        <w:t>–</w:t>
      </w:r>
      <w:r w:rsidR="003F3502" w:rsidRPr="004E0F02">
        <w:t xml:space="preserve"> </w:t>
      </w:r>
      <w:r w:rsidRPr="004E0F02">
        <w:t>Prawo oświatowe (</w:t>
      </w:r>
      <w:r w:rsidR="00E45B1D" w:rsidRPr="004E0F02">
        <w:t>Dz. U.</w:t>
      </w:r>
      <w:r w:rsidR="00F91FB7" w:rsidRPr="004E0F02">
        <w:t xml:space="preserve"> z 2020</w:t>
      </w:r>
      <w:r w:rsidRPr="004E0F02">
        <w:t> r.</w:t>
      </w:r>
      <w:r w:rsidR="00E45B1D" w:rsidRPr="004E0F02">
        <w:t xml:space="preserve"> poz. </w:t>
      </w:r>
      <w:r w:rsidR="00F91FB7" w:rsidRPr="004E0F02">
        <w:t>910</w:t>
      </w:r>
      <w:r w:rsidR="00443171" w:rsidRPr="004E0F02">
        <w:t xml:space="preserve"> i</w:t>
      </w:r>
      <w:r w:rsidR="00260287" w:rsidRPr="004E0F02">
        <w:t xml:space="preserve"> 1378</w:t>
      </w:r>
      <w:r w:rsidRPr="004E0F02">
        <w:t>)</w:t>
      </w:r>
      <w:r w:rsidR="00FF1603" w:rsidRPr="004E0F02">
        <w:t xml:space="preserve"> oraz </w:t>
      </w:r>
      <w:r w:rsidR="009E635A" w:rsidRPr="004E0F02">
        <w:t>podmiotów</w:t>
      </w:r>
      <w:r w:rsidR="00FF1603" w:rsidRPr="004E0F02">
        <w:t xml:space="preserve">, o </w:t>
      </w:r>
      <w:r w:rsidR="003F343A" w:rsidRPr="004E0F02">
        <w:t>których mowa w art. 95 ustawy z </w:t>
      </w:r>
      <w:r w:rsidR="00FF1603" w:rsidRPr="004E0F02">
        <w:t xml:space="preserve">dnia 26 października 1982 </w:t>
      </w:r>
      <w:r w:rsidR="00BD72ED" w:rsidRPr="004E0F02">
        <w:t xml:space="preserve">r. </w:t>
      </w:r>
      <w:r w:rsidR="00FF1603" w:rsidRPr="004E0F02">
        <w:t xml:space="preserve">o postępowaniach w sprawach nieletnich (Dz. </w:t>
      </w:r>
      <w:r w:rsidR="00ED0CD7" w:rsidRPr="004E0F02">
        <w:t>U. z 2018 r. poz. 969)</w:t>
      </w:r>
      <w:r w:rsidRPr="004E0F02">
        <w:t>;</w:t>
      </w:r>
    </w:p>
    <w:p w14:paraId="2F933A1E" w14:textId="04421BA7" w:rsidR="00EF28B7" w:rsidRPr="004E0F02" w:rsidRDefault="00EF28B7" w:rsidP="00E45B1D">
      <w:pPr>
        <w:pStyle w:val="PKTpunkt"/>
        <w:keepNext/>
      </w:pPr>
      <w:r w:rsidRPr="004E0F02">
        <w:t>6)</w:t>
      </w:r>
      <w:r w:rsidRPr="004E0F02">
        <w:tab/>
        <w:t>podmiotów, o których mowa</w:t>
      </w:r>
      <w:r w:rsidR="00E45B1D" w:rsidRPr="004E0F02">
        <w:t xml:space="preserve"> art. 3 pkt 5 w </w:t>
      </w:r>
      <w:r w:rsidRPr="004E0F02">
        <w:t>zakresie w jakim informacje te:</w:t>
      </w:r>
    </w:p>
    <w:p w14:paraId="3E294B1E" w14:textId="77777777" w:rsidR="00EF28B7" w:rsidRPr="004E0F02" w:rsidRDefault="00EF28B7" w:rsidP="00EF28B7">
      <w:pPr>
        <w:pStyle w:val="LITlitera"/>
      </w:pPr>
      <w:r w:rsidRPr="004E0F02">
        <w:t>a)</w:t>
      </w:r>
      <w:r w:rsidRPr="004E0F02">
        <w:tab/>
        <w:t>wytworzone zostały poza zakresem zadań publicznych,</w:t>
      </w:r>
    </w:p>
    <w:p w14:paraId="51339CE8" w14:textId="0AA1FE12" w:rsidR="00EF28B7" w:rsidRPr="004E0F02" w:rsidRDefault="00EF28B7" w:rsidP="00EF28B7">
      <w:pPr>
        <w:pStyle w:val="LITlitera"/>
      </w:pPr>
      <w:r w:rsidRPr="004E0F02">
        <w:t>b)</w:t>
      </w:r>
      <w:r w:rsidRPr="004E0F02">
        <w:tab/>
        <w:t>wytworzone zostały w ramach działalności uznanej zgodnie</w:t>
      </w:r>
      <w:r w:rsidR="00E45B1D" w:rsidRPr="004E0F02">
        <w:t xml:space="preserve"> z art. </w:t>
      </w:r>
      <w:r w:rsidRPr="004E0F02">
        <w:t>34 </w:t>
      </w:r>
      <w:r w:rsidR="001257CC" w:rsidRPr="004E0F02">
        <w:t>d</w:t>
      </w:r>
      <w:r w:rsidRPr="004E0F02">
        <w:t xml:space="preserve">yrektywy Parlamentu Europejskiego i Rady 2014/25/UE z dnia 26 lutego 2014 r. w sprawie udzielania zamówień przez podmioty działające w sektorach gospodarki wodnej, </w:t>
      </w:r>
      <w:r w:rsidRPr="004E0F02">
        <w:lastRenderedPageBreak/>
        <w:t>energetyki, transportu i usług pocztowych, uchylającej dyrektywę 2004/17/WE (Dz. Urz. UE L 94 z 28.</w:t>
      </w:r>
      <w:r w:rsidR="008A05E1" w:rsidRPr="004E0F02">
        <w:t>0</w:t>
      </w:r>
      <w:r w:rsidRPr="004E0F02">
        <w:t>3.2014, str. 243</w:t>
      </w:r>
      <w:r w:rsidR="008A05E1" w:rsidRPr="004E0F02">
        <w:t>,</w:t>
      </w:r>
      <w:r w:rsidR="00E45B1D" w:rsidRPr="004E0F02">
        <w:t xml:space="preserve"> z </w:t>
      </w:r>
      <w:r w:rsidR="008A05E1" w:rsidRPr="004E0F02">
        <w:t>późn. zm.</w:t>
      </w:r>
      <w:r w:rsidR="008A05E1" w:rsidRPr="004E0F02">
        <w:rPr>
          <w:rStyle w:val="Odwoanieprzypisudolnego"/>
        </w:rPr>
        <w:footnoteReference w:id="7"/>
      </w:r>
      <w:r w:rsidR="008A05E1" w:rsidRPr="004E0F02">
        <w:rPr>
          <w:rStyle w:val="Odwoanieprzypisudolnego"/>
        </w:rPr>
        <w:t>)</w:t>
      </w:r>
      <w:r w:rsidRPr="004E0F02">
        <w:t>) za bezpośrednio podlegającą konkurencji.</w:t>
      </w:r>
    </w:p>
    <w:p w14:paraId="75FE62E8" w14:textId="34723049" w:rsidR="00381215" w:rsidRPr="004E0F02" w:rsidRDefault="00EF28B7" w:rsidP="009A2DE1">
      <w:pPr>
        <w:pStyle w:val="USTustnpkodeksu"/>
        <w:rPr>
          <w:lang w:eastAsia="en-US"/>
        </w:rPr>
      </w:pPr>
      <w:r w:rsidRPr="004E0F02">
        <w:t>2. </w:t>
      </w:r>
      <w:r w:rsidRPr="004E0F02">
        <w:rPr>
          <w:lang w:eastAsia="en-US"/>
        </w:rPr>
        <w:t>Przepisu</w:t>
      </w:r>
      <w:r w:rsidR="00E45B1D" w:rsidRPr="004E0F02">
        <w:rPr>
          <w:lang w:eastAsia="en-US"/>
        </w:rPr>
        <w:t xml:space="preserve"> ust. </w:t>
      </w:r>
      <w:r w:rsidRPr="004E0F02">
        <w:rPr>
          <w:lang w:eastAsia="en-US"/>
        </w:rPr>
        <w:t>1 nie stosuje się do informacji publicznych podlegających udostępnieniu w Biuletynie Informacji Publicznej.</w:t>
      </w:r>
    </w:p>
    <w:p w14:paraId="4E5AC3B9" w14:textId="2A4EE4F0" w:rsidR="00EF28B7" w:rsidRPr="004E0F02" w:rsidRDefault="00EF28B7" w:rsidP="00EF28B7">
      <w:pPr>
        <w:pStyle w:val="USTustnpkodeksu"/>
      </w:pPr>
      <w:r w:rsidRPr="004E0F02">
        <w:t>3. </w:t>
      </w:r>
      <w:r w:rsidRPr="004E0F02">
        <w:rPr>
          <w:lang w:eastAsia="en-US"/>
        </w:rPr>
        <w:t>Przepisów ustawy nie stosuje się do informacji sektora publicznego, których udostępnianie lub przekazanie zostało uzależnione od wykazania przez użytkowników interesu prawnego lub faktycznego na podstawie odrębnych przepisów.</w:t>
      </w:r>
    </w:p>
    <w:p w14:paraId="0B137849" w14:textId="77777777" w:rsidR="00EF28B7" w:rsidRPr="004E0F02" w:rsidRDefault="00EF28B7" w:rsidP="00E45B1D">
      <w:pPr>
        <w:pStyle w:val="ARTartustawynprozporzdzenia"/>
        <w:keepNext/>
      </w:pPr>
      <w:r w:rsidRPr="004E0F02">
        <w:rPr>
          <w:rStyle w:val="Ppogrubienie"/>
        </w:rPr>
        <w:t>Art.</w:t>
      </w:r>
      <w:r w:rsidRPr="004E0F02">
        <w:rPr>
          <w:rStyle w:val="Ppogrubienie"/>
        </w:rPr>
        <w:tab/>
        <w:t>5.</w:t>
      </w:r>
      <w:r w:rsidRPr="004E0F02">
        <w:t> Każdemu przysługuje prawo do ponownego wykorzystywania informacji sektora publicznego:</w:t>
      </w:r>
    </w:p>
    <w:p w14:paraId="04FA4777" w14:textId="2E2259FB" w:rsidR="00EF28B7" w:rsidRPr="004E0F02" w:rsidRDefault="00EF28B7" w:rsidP="00EF28B7">
      <w:pPr>
        <w:pStyle w:val="PKTpunkt"/>
      </w:pPr>
      <w:r w:rsidRPr="004E0F02">
        <w:t>1)</w:t>
      </w:r>
      <w:r w:rsidRPr="004E0F02">
        <w:tab/>
        <w:t>udostępnionych na stronie podmiotowej Biuletynu Informacji Publicznej podmiotu zobowiązanego lub na portalu danych lub w innym systemie teleinformatycznym podmiotu zobowiązanego;</w:t>
      </w:r>
    </w:p>
    <w:p w14:paraId="10944386" w14:textId="77777777" w:rsidR="00EF28B7" w:rsidRPr="004E0F02" w:rsidRDefault="00EF28B7" w:rsidP="00EF28B7">
      <w:pPr>
        <w:pStyle w:val="PKTpunkt"/>
      </w:pPr>
      <w:r w:rsidRPr="004E0F02">
        <w:t>2)</w:t>
      </w:r>
      <w:r w:rsidRPr="004E0F02">
        <w:tab/>
        <w:t>przekazanych na wniosek o ponowne wykorzystywanie.</w:t>
      </w:r>
    </w:p>
    <w:p w14:paraId="22EF345D" w14:textId="77777777" w:rsidR="00EF28B7" w:rsidRPr="004E0F02" w:rsidRDefault="00EF28B7" w:rsidP="00EF28B7">
      <w:pPr>
        <w:pStyle w:val="ARTartustawynprozporzdzenia"/>
      </w:pPr>
      <w:r w:rsidRPr="004E0F02">
        <w:rPr>
          <w:rStyle w:val="Ppogrubienie"/>
        </w:rPr>
        <w:t>Art.</w:t>
      </w:r>
      <w:r w:rsidRPr="004E0F02">
        <w:rPr>
          <w:rStyle w:val="Ppogrubienie"/>
        </w:rPr>
        <w:tab/>
        <w:t>6.</w:t>
      </w:r>
      <w:r w:rsidRPr="004E0F02">
        <w:t> 1.</w:t>
      </w:r>
      <w:r w:rsidRPr="004E0F02">
        <w:tab/>
        <w:t>Prawo do ponownego wykorzystywania podlega ograniczeniu w zakresie i na zasadach określonych w przepisach o ochronie informacji niejawnych oraz o ochronie innych tajemnic ustawowo chronionych.</w:t>
      </w:r>
    </w:p>
    <w:p w14:paraId="07494668" w14:textId="77777777" w:rsidR="00571162" w:rsidRPr="004E0F02" w:rsidRDefault="00EF28B7" w:rsidP="00571162">
      <w:pPr>
        <w:pStyle w:val="USTustnpkodeksu"/>
      </w:pPr>
      <w:r w:rsidRPr="004E0F02">
        <w:t>2. Prawo do ponownego wykorzystywania podlega ograniczeniu ze względu na tajemnicę przedsiębiorstwa lub prywatność osoby fizycznej,</w:t>
      </w:r>
      <w:r w:rsidR="00E45B1D" w:rsidRPr="004E0F02">
        <w:t xml:space="preserve"> w </w:t>
      </w:r>
      <w:r w:rsidRPr="004E0F02">
        <w:t>tym ochronę danych osobowych. Ograniczenie to nie dotyczy informacji o osobach pełniących funkcje publiczne, mających związek z pełnieniem tych funkcji, w tym o warunkach powierzenia i wykonywania funkcji, oraz przypadku gdy osoba fizyczna wyrazi zgodę na przetwarzanie jej danych osobowych w celu ponownego wykorzystywania lub gdy przedsiębiorca rezygnuje z przysługującego mu prawa.</w:t>
      </w:r>
    </w:p>
    <w:p w14:paraId="06F29CF4" w14:textId="77777777" w:rsidR="00571162" w:rsidRPr="004E0F02" w:rsidRDefault="00EF28B7" w:rsidP="00571162">
      <w:pPr>
        <w:pStyle w:val="USTustnpkodeksu"/>
      </w:pPr>
      <w:r w:rsidRPr="004E0F02">
        <w:t>3. Prawo do ponownego wykorzystywania podlega ograniczeniu w zakresie informacji będących informacjami sektora publicznego, do których dostęp jest ograniczony na podstawie innych ustaw. Przepis</w:t>
      </w:r>
      <w:r w:rsidR="00E45B1D" w:rsidRPr="004E0F02">
        <w:t xml:space="preserve"> ust. 2 zdanie</w:t>
      </w:r>
      <w:r w:rsidRPr="004E0F02">
        <w:t xml:space="preserve"> drugie</w:t>
      </w:r>
      <w:r w:rsidR="003F3502" w:rsidRPr="004E0F02">
        <w:t xml:space="preserve"> </w:t>
      </w:r>
      <w:r w:rsidRPr="004E0F02">
        <w:t>stosuje się odpowiednio.</w:t>
      </w:r>
    </w:p>
    <w:p w14:paraId="0884C0C5" w14:textId="247C010D" w:rsidR="00EF28B7" w:rsidRPr="004E0F02" w:rsidRDefault="00EF28B7" w:rsidP="00571162">
      <w:pPr>
        <w:pStyle w:val="USTustnpkodeksu"/>
      </w:pPr>
      <w:r w:rsidRPr="004E0F02">
        <w:t>4. Prawo do ponownego wykorzystywania podlega ograniczeniu w zakresie informacji sektora publicznego:</w:t>
      </w:r>
    </w:p>
    <w:p w14:paraId="67E3EBC7" w14:textId="77777777" w:rsidR="00EF28B7" w:rsidRPr="004E0F02" w:rsidRDefault="00EF28B7" w:rsidP="00EF28B7">
      <w:pPr>
        <w:pStyle w:val="PKTpunkt"/>
      </w:pPr>
      <w:r w:rsidRPr="004E0F02">
        <w:lastRenderedPageBreak/>
        <w:t>1)</w:t>
      </w:r>
      <w:r w:rsidRPr="004E0F02">
        <w:tab/>
        <w:t>których wytwarzanie przez podmioty zobowiązane nie należy do zakresu ich zadań publicznych określonych prawem;</w:t>
      </w:r>
    </w:p>
    <w:p w14:paraId="2DD9238F" w14:textId="77777777" w:rsidR="00EF28B7" w:rsidRPr="004E0F02" w:rsidRDefault="00EF28B7" w:rsidP="00EF28B7">
      <w:pPr>
        <w:pStyle w:val="PKTpunkt"/>
      </w:pPr>
      <w:r w:rsidRPr="004E0F02">
        <w:t>2)</w:t>
      </w:r>
      <w:r w:rsidRPr="004E0F02">
        <w:tab/>
        <w:t>powiązanych z depozytami znajdującymi się w posiadaniu podmiotu zobowiązanego, o ile ich właściciele umownie wyłączyli możliwość ich udostępniania lub przekazywania w całości lub w określonym zakresie;</w:t>
      </w:r>
    </w:p>
    <w:p w14:paraId="2DF8A743" w14:textId="0F3BE5B9" w:rsidR="00417BD5" w:rsidRPr="004E0F02" w:rsidRDefault="00417BD5" w:rsidP="00EF28B7">
      <w:pPr>
        <w:pStyle w:val="PKTpunkt"/>
      </w:pPr>
      <w:r w:rsidRPr="004E0F02">
        <w:t>3)</w:t>
      </w:r>
      <w:r w:rsidRPr="004E0F02">
        <w:tab/>
        <w:t>objętych prawami własności przemysłowej w rozumieniu przepisów ustawy z dnia 30 czerwca 2000 r. – Prawo własności przemysłowej (Dz. U. z 2020 r. poz. 286, 288</w:t>
      </w:r>
      <w:r w:rsidR="006A5213" w:rsidRPr="004E0F02">
        <w:t xml:space="preserve"> i</w:t>
      </w:r>
      <w:r w:rsidRPr="004E0F02">
        <w:t xml:space="preserve"> 1086) lub prawami własności przemysłowej podlegających ochronie na podstawie umów międzynarodowych lub przepisów prawa Unii Europejskiej;</w:t>
      </w:r>
    </w:p>
    <w:p w14:paraId="2E91DA17" w14:textId="070723E1" w:rsidR="00417BD5" w:rsidRPr="004E0F02" w:rsidRDefault="00417BD5" w:rsidP="00EF28B7">
      <w:pPr>
        <w:pStyle w:val="PKTpunkt"/>
      </w:pPr>
      <w:r w:rsidRPr="004E0F02">
        <w:t>4</w:t>
      </w:r>
      <w:r w:rsidR="00EF28B7" w:rsidRPr="004E0F02">
        <w:t>)</w:t>
      </w:r>
      <w:r w:rsidR="00EF28B7" w:rsidRPr="004E0F02">
        <w:tab/>
        <w:t>do których prawa autorskie i prawa pokrewne w rozumieniu przepisów ustawy z dnia 4 lutego 1994 r. o prawie autorskim i prawach pokrewnych (</w:t>
      </w:r>
      <w:r w:rsidR="00E45B1D" w:rsidRPr="004E0F02">
        <w:t>Dz. U.</w:t>
      </w:r>
      <w:r w:rsidR="00EF28B7" w:rsidRPr="004E0F02">
        <w:t xml:space="preserve"> z 2019 r.</w:t>
      </w:r>
      <w:r w:rsidR="00E45B1D" w:rsidRPr="004E0F02">
        <w:t xml:space="preserve"> poz. </w:t>
      </w:r>
      <w:r w:rsidR="00EF28B7" w:rsidRPr="004E0F02">
        <w:t>123</w:t>
      </w:r>
      <w:r w:rsidR="00E45B1D" w:rsidRPr="004E0F02">
        <w:t>1 oraz</w:t>
      </w:r>
      <w:r w:rsidR="00EF28B7" w:rsidRPr="004E0F02">
        <w:t xml:space="preserve"> z 2020 r.</w:t>
      </w:r>
      <w:r w:rsidR="00E45B1D" w:rsidRPr="004E0F02">
        <w:t xml:space="preserve"> poz. </w:t>
      </w:r>
      <w:r w:rsidR="00EF28B7" w:rsidRPr="004E0F02">
        <w:t>288), prawa do baz danych w rozumieniu przepisów ustawy z dnia 27 lipca 2001 r. o ochronie baz danych (</w:t>
      </w:r>
      <w:r w:rsidR="00E45B1D" w:rsidRPr="004E0F02">
        <w:t>Dz. U.</w:t>
      </w:r>
      <w:r w:rsidR="00EF28B7" w:rsidRPr="004E0F02">
        <w:t xml:space="preserve"> z 2019 r.</w:t>
      </w:r>
      <w:r w:rsidR="00E45B1D" w:rsidRPr="004E0F02">
        <w:t xml:space="preserve"> poz. </w:t>
      </w:r>
      <w:r w:rsidR="00EF28B7" w:rsidRPr="004E0F02">
        <w:t>213</w:t>
      </w:r>
      <w:r w:rsidR="00E45B1D" w:rsidRPr="004E0F02">
        <w:t>4 oraz</w:t>
      </w:r>
      <w:r w:rsidR="00EF28B7" w:rsidRPr="004E0F02">
        <w:t xml:space="preserve"> z 2020 r.</w:t>
      </w:r>
      <w:r w:rsidR="00E45B1D" w:rsidRPr="004E0F02">
        <w:t xml:space="preserve"> poz. </w:t>
      </w:r>
      <w:r w:rsidR="00571162" w:rsidRPr="004E0F02">
        <w:t>288) oraz</w:t>
      </w:r>
      <w:r w:rsidR="00EF28B7" w:rsidRPr="004E0F02">
        <w:t xml:space="preserve"> prawa do odmian roślin w rozumieniu przepisów ustawy z dnia 26 czerwca 2003 r. o ochronie prawnej odmian roślin (</w:t>
      </w:r>
      <w:r w:rsidR="00E45B1D" w:rsidRPr="004E0F02">
        <w:t>Dz. U.</w:t>
      </w:r>
      <w:r w:rsidR="00EF28B7" w:rsidRPr="004E0F02">
        <w:t xml:space="preserve"> z 2018 r.</w:t>
      </w:r>
      <w:r w:rsidR="00E45B1D" w:rsidRPr="004E0F02">
        <w:t xml:space="preserve"> poz. </w:t>
      </w:r>
      <w:r w:rsidR="00EF28B7" w:rsidRPr="004E0F02">
        <w:t>43</w:t>
      </w:r>
      <w:r w:rsidR="00E45B1D" w:rsidRPr="004E0F02">
        <w:t>2 oraz</w:t>
      </w:r>
      <w:r w:rsidR="00EF28B7" w:rsidRPr="004E0F02">
        <w:t xml:space="preserve"> z 2020 r.</w:t>
      </w:r>
      <w:r w:rsidR="00E45B1D" w:rsidRPr="004E0F02">
        <w:t xml:space="preserve"> poz. </w:t>
      </w:r>
      <w:r w:rsidR="00EF28B7" w:rsidRPr="004E0F02">
        <w:t>288), przysługują podmiotom innym niż podmioty zobowiązane;</w:t>
      </w:r>
    </w:p>
    <w:p w14:paraId="787F3CEC" w14:textId="7FC66BEA" w:rsidR="00EF28B7" w:rsidRPr="004E0F02" w:rsidRDefault="00417BD5" w:rsidP="00EF28B7">
      <w:pPr>
        <w:pStyle w:val="PKTpunkt"/>
      </w:pPr>
      <w:r w:rsidRPr="004E0F02">
        <w:t>5</w:t>
      </w:r>
      <w:r w:rsidR="00EF28B7" w:rsidRPr="004E0F02">
        <w:t>)</w:t>
      </w:r>
      <w:r w:rsidR="00EF28B7" w:rsidRPr="004E0F02">
        <w:tab/>
        <w:t>będących w posiad</w:t>
      </w:r>
      <w:r w:rsidR="009818E9" w:rsidRPr="004E0F02">
        <w:t xml:space="preserve">aniu muzeów państwowych, muzeów </w:t>
      </w:r>
      <w:r w:rsidR="00EF28B7" w:rsidRPr="004E0F02">
        <w:t>samorządowych, bibliotek publicznych, bibliotek naukowych lub</w:t>
      </w:r>
      <w:r w:rsidR="006322F1" w:rsidRPr="004E0F02">
        <w:t xml:space="preserve"> jednostek organizacyjnych, o których mowa w art. 22 ust. 1 pkt 1 i ust. 2 ustawy z dnia 14 lipca 1983 r. o narodowym zasobie archiwalnym i archi</w:t>
      </w:r>
      <w:r w:rsidR="00205C6A" w:rsidRPr="004E0F02">
        <w:t>wach (Dz. U. z 2020 r. poz. 164</w:t>
      </w:r>
      <w:r w:rsidR="006322F1" w:rsidRPr="004E0F02">
        <w:t>), a także jednostek organizacyjnych będących archiwami wyodrębnionymi albo prowa</w:t>
      </w:r>
      <w:r w:rsidR="00205C6A" w:rsidRPr="004E0F02">
        <w:t>dząc</w:t>
      </w:r>
      <w:r w:rsidR="00EA451B" w:rsidRPr="004E0F02">
        <w:t>ymi</w:t>
      </w:r>
      <w:r w:rsidR="00205C6A" w:rsidRPr="004E0F02">
        <w:t xml:space="preserve"> archiwa wyodrębnione, o </w:t>
      </w:r>
      <w:r w:rsidR="006322F1" w:rsidRPr="004E0F02">
        <w:t>których mowa w art. 22 ust. 1 pkt 2 tej ustawy</w:t>
      </w:r>
      <w:r w:rsidR="008B2D4B" w:rsidRPr="004E0F02">
        <w:t>, zwanych dalej „archiwami” – w </w:t>
      </w:r>
      <w:r w:rsidR="006322F1" w:rsidRPr="004E0F02">
        <w:t xml:space="preserve">odniesieniu do działalności archiwalnej w zakresie </w:t>
      </w:r>
      <w:r w:rsidR="00205C6A" w:rsidRPr="004E0F02">
        <w:t>państwowego zasobu archiwalnego</w:t>
      </w:r>
      <w:r w:rsidR="00EF28B7" w:rsidRPr="004E0F02">
        <w:t>, w przypadku gdy pierwotnym właścicielem autorskich praw majątkowych lub praw pokrewnych były podmioty inne niż podmioty zobowiązane, a czas trwania tych praw nie wygasł;</w:t>
      </w:r>
    </w:p>
    <w:p w14:paraId="44512571" w14:textId="116E25EF" w:rsidR="00EF28B7" w:rsidRPr="004E0F02" w:rsidRDefault="00417BD5" w:rsidP="00EF28B7">
      <w:pPr>
        <w:pStyle w:val="PKTpunkt"/>
      </w:pPr>
      <w:r w:rsidRPr="004E0F02">
        <w:t>6</w:t>
      </w:r>
      <w:r w:rsidR="00EF28B7" w:rsidRPr="004E0F02">
        <w:t>)</w:t>
      </w:r>
      <w:r w:rsidR="00EF28B7" w:rsidRPr="004E0F02">
        <w:tab/>
        <w:t>które są wyłączone</w:t>
      </w:r>
      <w:r w:rsidR="003F3502" w:rsidRPr="004E0F02">
        <w:t xml:space="preserve"> z </w:t>
      </w:r>
      <w:r w:rsidR="00EF28B7" w:rsidRPr="004E0F02">
        <w:t>dostępu lub do których dostęp jest ograniczony ze względu na ochronę infrastruktury krytycznej</w:t>
      </w:r>
      <w:r w:rsidR="003F3502" w:rsidRPr="004E0F02">
        <w:t xml:space="preserve"> w </w:t>
      </w:r>
      <w:r w:rsidR="00EF28B7" w:rsidRPr="004E0F02">
        <w:t>rozumieniu przepisów ustawy</w:t>
      </w:r>
      <w:r w:rsidR="003F3502" w:rsidRPr="004E0F02">
        <w:t xml:space="preserve"> z </w:t>
      </w:r>
      <w:r w:rsidR="00EF28B7" w:rsidRPr="004E0F02">
        <w:t>dnia 2</w:t>
      </w:r>
      <w:r w:rsidR="003F3502" w:rsidRPr="004E0F02">
        <w:t>6 </w:t>
      </w:r>
      <w:r w:rsidR="00EF28B7" w:rsidRPr="004E0F02">
        <w:t>kwietnia 200</w:t>
      </w:r>
      <w:r w:rsidR="003F3502" w:rsidRPr="004E0F02">
        <w:t>7 </w:t>
      </w:r>
      <w:r w:rsidR="00EF28B7" w:rsidRPr="004E0F02">
        <w:t>r.</w:t>
      </w:r>
      <w:r w:rsidR="003F3502" w:rsidRPr="004E0F02">
        <w:t xml:space="preserve"> o </w:t>
      </w:r>
      <w:r w:rsidR="00EF28B7" w:rsidRPr="004E0F02">
        <w:t>zarządzaniu kryzysowym (</w:t>
      </w:r>
      <w:r w:rsidR="00E45B1D" w:rsidRPr="004E0F02">
        <w:t>Dz. U.</w:t>
      </w:r>
      <w:r w:rsidR="003F3502" w:rsidRPr="004E0F02">
        <w:t xml:space="preserve"> z </w:t>
      </w:r>
      <w:r w:rsidR="00146AE7" w:rsidRPr="004E0F02">
        <w:t xml:space="preserve"> 2020 r. poz. 1856</w:t>
      </w:r>
      <w:r w:rsidR="00EF28B7" w:rsidRPr="004E0F02">
        <w:t>);</w:t>
      </w:r>
    </w:p>
    <w:p w14:paraId="781635B1" w14:textId="4AD5EFD0" w:rsidR="00EF28B7" w:rsidRPr="004E0F02" w:rsidRDefault="00417BD5" w:rsidP="00EF28B7">
      <w:pPr>
        <w:pStyle w:val="PKTpunkt"/>
      </w:pPr>
      <w:r w:rsidRPr="004E0F02">
        <w:t>7</w:t>
      </w:r>
      <w:r w:rsidR="00EF28B7" w:rsidRPr="004E0F02">
        <w:t>)</w:t>
      </w:r>
      <w:r w:rsidR="00EF28B7" w:rsidRPr="004E0F02">
        <w:tab/>
        <w:t>stanowiących program komputerowy,</w:t>
      </w:r>
      <w:r w:rsidR="003F3502" w:rsidRPr="004E0F02">
        <w:t xml:space="preserve"> z </w:t>
      </w:r>
      <w:r w:rsidR="00EF28B7" w:rsidRPr="004E0F02">
        <w:t>zastrzeżeniem</w:t>
      </w:r>
      <w:r w:rsidR="00E45B1D" w:rsidRPr="004E0F02">
        <w:t xml:space="preserve"> art. </w:t>
      </w:r>
      <w:r w:rsidR="003248CD" w:rsidRPr="004E0F02">
        <w:t>1</w:t>
      </w:r>
      <w:r w:rsidR="00E45B1D" w:rsidRPr="004E0F02">
        <w:t>0 ust. </w:t>
      </w:r>
      <w:r w:rsidR="003B78BF" w:rsidRPr="004E0F02">
        <w:t>5</w:t>
      </w:r>
      <w:r w:rsidR="00EF28B7" w:rsidRPr="004E0F02">
        <w:t>.</w:t>
      </w:r>
    </w:p>
    <w:p w14:paraId="0716B8BF" w14:textId="77777777" w:rsidR="00EF28B7" w:rsidRPr="004E0F02" w:rsidRDefault="00EF28B7" w:rsidP="00EF28B7">
      <w:pPr>
        <w:pStyle w:val="ARTartustawynprozporzdzenia"/>
      </w:pPr>
      <w:r w:rsidRPr="004E0F02">
        <w:rPr>
          <w:rStyle w:val="Ppogrubienie"/>
        </w:rPr>
        <w:t>Art. 7.</w:t>
      </w:r>
      <w:r w:rsidRPr="004E0F02">
        <w:t> 1. Przepisy ustawy nie naruszają prawa dostępu do informacji publicznej ani wolności jej rozpowszechniania, ani przepisów innych ustaw określających zasady, warunki i tryb dostępu lub ponownego wykorzystywania informacji będących informacjami sektora publicznego.</w:t>
      </w:r>
    </w:p>
    <w:p w14:paraId="0DBA2B2A" w14:textId="77777777" w:rsidR="00EF28B7" w:rsidRPr="004E0F02" w:rsidRDefault="00EF28B7" w:rsidP="00EF28B7">
      <w:pPr>
        <w:pStyle w:val="USTustnpkodeksu"/>
      </w:pPr>
      <w:r w:rsidRPr="004E0F02">
        <w:lastRenderedPageBreak/>
        <w:t>2. Przepisy ustawy nie naruszają przepisów o ochronie danych osobowych.</w:t>
      </w:r>
    </w:p>
    <w:p w14:paraId="3A16B171" w14:textId="0C5DDCFA" w:rsidR="00EF28B7" w:rsidRPr="004E0F02" w:rsidRDefault="00EF28B7" w:rsidP="00EF28B7">
      <w:pPr>
        <w:pStyle w:val="USTustnpkodeksu"/>
      </w:pPr>
      <w:r w:rsidRPr="004E0F02">
        <w:t xml:space="preserve">3. Do przetwarzania danych osobowych w celu udostępniania lub przekazywania informacji sektora publicznego </w:t>
      </w:r>
      <w:r w:rsidR="00A03A7B" w:rsidRPr="004E0F02">
        <w:t xml:space="preserve">w celu </w:t>
      </w:r>
      <w:r w:rsidRPr="004E0F02">
        <w:t>ponownego wykorzystywania przepisu</w:t>
      </w:r>
      <w:r w:rsidR="00E45B1D" w:rsidRPr="004E0F02">
        <w:t xml:space="preserve"> art. </w:t>
      </w:r>
      <w:r w:rsidRPr="004E0F02">
        <w:t>1</w:t>
      </w:r>
      <w:r w:rsidR="00E45B1D" w:rsidRPr="004E0F02">
        <w:t>3 ust. </w:t>
      </w:r>
      <w:r w:rsidRPr="004E0F02">
        <w:t>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w:t>
      </w:r>
      <w:r w:rsidR="001A2424" w:rsidRPr="004E0F02">
        <w:rPr>
          <w:rStyle w:val="IGindeksgrny"/>
        </w:rPr>
        <w:footnoteReference w:id="8"/>
      </w:r>
      <w:r w:rsidR="001A2424" w:rsidRPr="004E0F02">
        <w:rPr>
          <w:rStyle w:val="IGindeksgrny"/>
        </w:rPr>
        <w:t>)</w:t>
      </w:r>
      <w:r w:rsidRPr="004E0F02">
        <w:t>)</w:t>
      </w:r>
      <w:r w:rsidR="00D0015B" w:rsidRPr="004E0F02">
        <w:t>,</w:t>
      </w:r>
      <w:r w:rsidRPr="004E0F02">
        <w:t xml:space="preserve"> zwanego dalej </w:t>
      </w:r>
      <w:r w:rsidR="00E45B1D" w:rsidRPr="004E0F02">
        <w:t>„</w:t>
      </w:r>
      <w:r w:rsidRPr="004E0F02">
        <w:t>rozporządzeniem 2016/679</w:t>
      </w:r>
      <w:r w:rsidR="00E45B1D" w:rsidRPr="004E0F02">
        <w:t>”</w:t>
      </w:r>
      <w:r w:rsidRPr="004E0F02">
        <w:t>, nie stosuje się.</w:t>
      </w:r>
    </w:p>
    <w:p w14:paraId="2D26AC90" w14:textId="446C2AA5" w:rsidR="00EF28B7" w:rsidRPr="004E0F02" w:rsidRDefault="00EF28B7" w:rsidP="00DD384E">
      <w:pPr>
        <w:pStyle w:val="ROZDZODDZOZNoznaczenierozdziauluboddziau"/>
        <w:rPr>
          <w:rStyle w:val="Ppogrubienie"/>
          <w:b w:val="0"/>
        </w:rPr>
      </w:pPr>
      <w:r w:rsidRPr="004E0F02">
        <w:rPr>
          <w:rStyle w:val="Ppogrubienie"/>
          <w:b w:val="0"/>
        </w:rPr>
        <w:t>Rozdział 2</w:t>
      </w:r>
    </w:p>
    <w:p w14:paraId="3FB6EA60" w14:textId="300B0630" w:rsidR="00EF28B7" w:rsidRPr="004E0F02" w:rsidRDefault="00EF28B7" w:rsidP="00E45B1D">
      <w:pPr>
        <w:pStyle w:val="ROZDZODDZPRZEDMprzedmiotregulacjirozdziauluboddziau"/>
      </w:pPr>
      <w:r w:rsidRPr="004E0F02">
        <w:t>Zasady udostępniania i przekazywania informacji sektora publicznego w celu ponownego wykorzystywania</w:t>
      </w:r>
      <w:r w:rsidR="0064538B" w:rsidRPr="004E0F02">
        <w:t xml:space="preserve"> </w:t>
      </w:r>
    </w:p>
    <w:p w14:paraId="674A4B73" w14:textId="53AA22B2" w:rsidR="00EF28B7" w:rsidRPr="004E0F02" w:rsidRDefault="00EF28B7" w:rsidP="00EF28B7">
      <w:pPr>
        <w:pStyle w:val="ARTartustawynprozporzdzenia"/>
      </w:pPr>
      <w:r w:rsidRPr="004E0F02">
        <w:rPr>
          <w:rStyle w:val="Ppogrubienie"/>
        </w:rPr>
        <w:t>Art.</w:t>
      </w:r>
      <w:r w:rsidRPr="004E0F02">
        <w:rPr>
          <w:rStyle w:val="Ppogrubienie"/>
        </w:rPr>
        <w:tab/>
        <w:t>8.</w:t>
      </w:r>
      <w:r w:rsidRPr="004E0F02">
        <w:t> 1.</w:t>
      </w:r>
      <w:r w:rsidRPr="004E0F02">
        <w:tab/>
        <w:t>Podmiot zobowiązany</w:t>
      </w:r>
      <w:r w:rsidR="00E45B1D" w:rsidRPr="004E0F02">
        <w:t xml:space="preserve"> w </w:t>
      </w:r>
      <w:r w:rsidRPr="004E0F02">
        <w:t>porównywalnych sytuacjach udostępnia lub przekazuje informacje sektora publicznego w celu ponownego wykorzystywania na takich samych zasadach.</w:t>
      </w:r>
    </w:p>
    <w:p w14:paraId="283D6E2B" w14:textId="77777777" w:rsidR="00EF28B7" w:rsidRPr="004E0F02" w:rsidRDefault="00EF28B7" w:rsidP="00EF28B7">
      <w:pPr>
        <w:pStyle w:val="USTustnpkodeksu"/>
      </w:pPr>
      <w:r w:rsidRPr="004E0F02">
        <w:t>2.</w:t>
      </w:r>
      <w:r w:rsidR="003F3502" w:rsidRPr="004E0F02">
        <w:t> W </w:t>
      </w:r>
      <w:r w:rsidRPr="004E0F02">
        <w:t>przypadku gdy ponowne wykorzystywanie jest dokonywane przez użytkowników będących podmiotami wykonującymi zadania publiczne w ramach działalności wykraczającej poza realizację takich zadań, warunki ponownego wykorzystywania lub opłaty za ponowne wykorzystywanie określa się na takich samych zasadach jak w przypadku innych użytkowników.</w:t>
      </w:r>
    </w:p>
    <w:p w14:paraId="57B836F8" w14:textId="777235BA" w:rsidR="00EF28B7" w:rsidRPr="004E0F02" w:rsidRDefault="00EF28B7" w:rsidP="00EF28B7">
      <w:pPr>
        <w:pStyle w:val="ARTartustawynprozporzdzenia"/>
      </w:pPr>
      <w:r w:rsidRPr="004E0F02">
        <w:rPr>
          <w:rStyle w:val="Ppogrubienie"/>
        </w:rPr>
        <w:t>Art. 9.</w:t>
      </w:r>
      <w:r w:rsidRPr="004E0F02">
        <w:t xml:space="preserve"> 1. Podmiot zobowiązany, który udostępnia lub przekazuje informacje sektora publicznego w celu ponownego wykorzystywania, </w:t>
      </w:r>
      <w:r w:rsidR="00547521" w:rsidRPr="004E0F02">
        <w:t xml:space="preserve"> nie ogranicza </w:t>
      </w:r>
      <w:r w:rsidRPr="004E0F02">
        <w:t>korzystania z tych informacji przez innych użytkowników.</w:t>
      </w:r>
    </w:p>
    <w:p w14:paraId="5121AFA5" w14:textId="36E9EAD3" w:rsidR="00EF28B7" w:rsidRPr="004E0F02" w:rsidRDefault="00EF28B7" w:rsidP="00EF28B7">
      <w:pPr>
        <w:pStyle w:val="USTustnpkodeksu"/>
      </w:pPr>
      <w:r w:rsidRPr="004E0F02">
        <w:t>2.</w:t>
      </w:r>
      <w:r w:rsidR="003F3502" w:rsidRPr="004E0F02">
        <w:t> W </w:t>
      </w:r>
      <w:r w:rsidRPr="004E0F02">
        <w:t>przypadku gdy prawidłowe wykonywanie zadań publicznych wymaga ograniczenia korzystania z informacji sektora publicznego przez innych użytkowników, podmiot zobowiązany może zawrzeć z użytkownikiem umowę</w:t>
      </w:r>
      <w:r w:rsidR="00E45B1D" w:rsidRPr="004E0F02">
        <w:t xml:space="preserve"> o </w:t>
      </w:r>
      <w:r w:rsidRPr="004E0F02">
        <w:t>udzielenie wyłącznego prawa do korzystania z tej informacji.</w:t>
      </w:r>
    </w:p>
    <w:p w14:paraId="733D925C" w14:textId="3F187FA6" w:rsidR="00DC2261" w:rsidRPr="004E0F02" w:rsidRDefault="00EF28B7" w:rsidP="00DC2261">
      <w:pPr>
        <w:pStyle w:val="USTustnpkodeksu"/>
      </w:pPr>
      <w:r w:rsidRPr="004E0F02">
        <w:t>3. Umowa</w:t>
      </w:r>
      <w:r w:rsidR="00E45B1D" w:rsidRPr="004E0F02">
        <w:t xml:space="preserve"> o </w:t>
      </w:r>
      <w:r w:rsidRPr="004E0F02">
        <w:t xml:space="preserve">udzielenie wyłącznego prawa do korzystania z informacji sektora publicznego podlega </w:t>
      </w:r>
      <w:r w:rsidR="00547521" w:rsidRPr="004E0F02">
        <w:t xml:space="preserve">co najmniej </w:t>
      </w:r>
      <w:r w:rsidRPr="004E0F02">
        <w:t xml:space="preserve">raz w roku ocenie przez podmiot zobowiązany co do dalszego istnienia powodów jej zawarcia. Jeżeli w wyniku oceny podmiot zobowiązany stwierdzi </w:t>
      </w:r>
      <w:r w:rsidRPr="004E0F02">
        <w:lastRenderedPageBreak/>
        <w:t>ustanie powodów jej zawarcia, niezwłocznie wypowiada umowę ze skutkiem natychmiastowym.</w:t>
      </w:r>
    </w:p>
    <w:p w14:paraId="1EBB20CD" w14:textId="4BC65561" w:rsidR="00FB4531" w:rsidRPr="004E0F02" w:rsidRDefault="00EF28B7" w:rsidP="00FB4531">
      <w:pPr>
        <w:pStyle w:val="ARTartustawynprozporzdzenia"/>
      </w:pPr>
      <w:r w:rsidRPr="004E0F02">
        <w:rPr>
          <w:rStyle w:val="Ppogrubienie"/>
        </w:rPr>
        <w:t>Art. 10</w:t>
      </w:r>
      <w:r w:rsidRPr="004E0F02">
        <w:rPr>
          <w:rStyle w:val="Ppogrubienie"/>
          <w:b w:val="0"/>
        </w:rPr>
        <w:t>.</w:t>
      </w:r>
      <w:r w:rsidRPr="004E0F02">
        <w:t xml:space="preserve"> 1. </w:t>
      </w:r>
      <w:r w:rsidR="00FB4531" w:rsidRPr="004E0F02">
        <w:t xml:space="preserve">Podmiot zobowiązany, </w:t>
      </w:r>
      <w:r w:rsidR="004968AC" w:rsidRPr="004E0F02">
        <w:t>jeżeli to możliwe,</w:t>
      </w:r>
      <w:r w:rsidR="00FB4531" w:rsidRPr="004E0F02">
        <w:t xml:space="preserve"> udostępnia lub przekazuje informacje sektora publicznego w celu ponownego wykorzystywania, jako otwarte dane.</w:t>
      </w:r>
    </w:p>
    <w:p w14:paraId="2E70D685" w14:textId="3E188786" w:rsidR="00EF28B7" w:rsidRPr="004E0F02" w:rsidRDefault="00FB4531" w:rsidP="00225724">
      <w:pPr>
        <w:pStyle w:val="ARTartustawynprozporzdzenia"/>
        <w:spacing w:before="0"/>
      </w:pPr>
      <w:r w:rsidRPr="004E0F02">
        <w:t xml:space="preserve">2. </w:t>
      </w:r>
      <w:r w:rsidR="00EF28B7" w:rsidRPr="004E0F02">
        <w:t>Podmiot zobowiązan</w:t>
      </w:r>
      <w:r w:rsidR="003936F9" w:rsidRPr="004E0F02">
        <w:t>y</w:t>
      </w:r>
      <w:r w:rsidR="00EF28B7" w:rsidRPr="004E0F02">
        <w:t>, któr</w:t>
      </w:r>
      <w:r w:rsidR="003936F9" w:rsidRPr="004E0F02">
        <w:t>y</w:t>
      </w:r>
      <w:r w:rsidR="00EF28B7" w:rsidRPr="004E0F02">
        <w:t xml:space="preserve"> udostępnia lub przekazuj</w:t>
      </w:r>
      <w:r w:rsidR="003936F9" w:rsidRPr="004E0F02">
        <w:t>e</w:t>
      </w:r>
      <w:r w:rsidR="00EF28B7" w:rsidRPr="004E0F02">
        <w:t xml:space="preserve"> informacje sektora publicznego w celu ponownego wykorzystywania z użyciem systemów teleinformatycznych, </w:t>
      </w:r>
      <w:r w:rsidR="003936F9" w:rsidRPr="004E0F02">
        <w:t xml:space="preserve">jest </w:t>
      </w:r>
      <w:r w:rsidR="00EF28B7" w:rsidRPr="004E0F02">
        <w:t>obowiązan</w:t>
      </w:r>
      <w:r w:rsidR="003936F9" w:rsidRPr="004E0F02">
        <w:t>y</w:t>
      </w:r>
      <w:r w:rsidR="00EF28B7" w:rsidRPr="004E0F02">
        <w:t xml:space="preserve"> do stosowania formatów danych oraz protokołów komunikacyjnych i szyfrujących określonych w przepisach wydanych na podstawie</w:t>
      </w:r>
      <w:r w:rsidR="00E45B1D" w:rsidRPr="004E0F02">
        <w:t xml:space="preserve"> art. </w:t>
      </w:r>
      <w:r w:rsidR="00EF28B7" w:rsidRPr="004E0F02">
        <w:t>1</w:t>
      </w:r>
      <w:r w:rsidR="00AF626C" w:rsidRPr="004E0F02">
        <w:t>8</w:t>
      </w:r>
      <w:r w:rsidR="00EF28B7" w:rsidRPr="004E0F02">
        <w:t> ustawy z dnia 17 lutego 2005 r. o informatyzacji działalności podmiotów realizujących zadania publiczne (</w:t>
      </w:r>
      <w:r w:rsidR="00E45B1D" w:rsidRPr="004E0F02">
        <w:t>Dz. U.</w:t>
      </w:r>
      <w:r w:rsidR="00EF28B7" w:rsidRPr="004E0F02">
        <w:t xml:space="preserve"> z 20</w:t>
      </w:r>
      <w:r w:rsidR="00D459F6" w:rsidRPr="004E0F02">
        <w:t>20</w:t>
      </w:r>
      <w:r w:rsidR="00EF28B7" w:rsidRPr="004E0F02">
        <w:t> r.</w:t>
      </w:r>
      <w:r w:rsidR="00E45B1D" w:rsidRPr="004E0F02">
        <w:t xml:space="preserve"> poz. </w:t>
      </w:r>
      <w:r w:rsidR="00D459F6" w:rsidRPr="004E0F02">
        <w:t>346</w:t>
      </w:r>
      <w:r w:rsidR="00267488" w:rsidRPr="004E0F02">
        <w:t>, 56</w:t>
      </w:r>
      <w:r w:rsidR="00E45B1D" w:rsidRPr="004E0F02">
        <w:t>8</w:t>
      </w:r>
      <w:r w:rsidR="00D93894" w:rsidRPr="004E0F02">
        <w:t>,</w:t>
      </w:r>
      <w:r w:rsidR="00E45B1D" w:rsidRPr="004E0F02">
        <w:t xml:space="preserve"> </w:t>
      </w:r>
      <w:r w:rsidR="00267488" w:rsidRPr="004E0F02">
        <w:t>695</w:t>
      </w:r>
      <w:r w:rsidR="00D93894" w:rsidRPr="004E0F02">
        <w:t xml:space="preserve"> i 1517</w:t>
      </w:r>
      <w:r w:rsidR="00EF28B7" w:rsidRPr="004E0F02">
        <w:t>), jeżeli to możliwe w formacie przeznaczonym do odczytu maszynowego wraz z metadanymi.</w:t>
      </w:r>
    </w:p>
    <w:p w14:paraId="39E27260" w14:textId="4E13F240" w:rsidR="00EF28B7" w:rsidRPr="004E0F02" w:rsidRDefault="00FB4531" w:rsidP="00EF28B7">
      <w:pPr>
        <w:pStyle w:val="USTustnpkodeksu"/>
      </w:pPr>
      <w:r w:rsidRPr="004E0F02">
        <w:t>3</w:t>
      </w:r>
      <w:r w:rsidR="00EF28B7" w:rsidRPr="004E0F02">
        <w:t xml:space="preserve">. Podmiot zobowiązany, który udostępnia informacje sektora publicznego poprzez </w:t>
      </w:r>
      <w:r w:rsidR="00722D93" w:rsidRPr="004E0F02">
        <w:t xml:space="preserve">interfejs programistyczny aplikacji, zwany dalej </w:t>
      </w:r>
      <w:r w:rsidR="00E45B1D" w:rsidRPr="004E0F02">
        <w:t>„</w:t>
      </w:r>
      <w:r w:rsidR="00722D93" w:rsidRPr="004E0F02">
        <w:t>API</w:t>
      </w:r>
      <w:r w:rsidR="00E45B1D" w:rsidRPr="004E0F02">
        <w:t>”</w:t>
      </w:r>
      <w:r w:rsidR="00722D93" w:rsidRPr="004E0F02">
        <w:t>,</w:t>
      </w:r>
      <w:r w:rsidR="00EF28B7" w:rsidRPr="004E0F02">
        <w:t xml:space="preserve"> zapewnia dostępność, stabilność, utrzymanie przez cały cykl użytkowania, jednolitość sposobu korzystania i standardów, łatwość użytkowania oraz bezpieczeństwo stosowanego API.</w:t>
      </w:r>
    </w:p>
    <w:p w14:paraId="0255726C" w14:textId="3FBE4736" w:rsidR="00DC2261" w:rsidRPr="004E0F02" w:rsidRDefault="00FB4531" w:rsidP="00DC2261">
      <w:pPr>
        <w:pStyle w:val="USTustnpkodeksu"/>
      </w:pPr>
      <w:r w:rsidRPr="004E0F02">
        <w:t>4</w:t>
      </w:r>
      <w:r w:rsidR="00EF28B7" w:rsidRPr="004E0F02">
        <w:t>. Podmiot zobowiązan</w:t>
      </w:r>
      <w:r w:rsidR="003936F9" w:rsidRPr="004E0F02">
        <w:t>y</w:t>
      </w:r>
      <w:r w:rsidR="00EF28B7" w:rsidRPr="004E0F02">
        <w:t xml:space="preserve"> nie </w:t>
      </w:r>
      <w:r w:rsidR="003936F9" w:rsidRPr="004E0F02">
        <w:t xml:space="preserve">jest </w:t>
      </w:r>
      <w:r w:rsidR="00EF28B7" w:rsidRPr="004E0F02">
        <w:t>obowiązan</w:t>
      </w:r>
      <w:r w:rsidR="003936F9" w:rsidRPr="004E0F02">
        <w:t>y</w:t>
      </w:r>
      <w:r w:rsidR="00EF28B7" w:rsidRPr="004E0F02">
        <w:t xml:space="preserve"> do tworzenia informacji sektora publicznego, ich przetwarzania w sposób lub w formie wskazanych we wniosku o ponowne wykorzystywanie oraz sporządzania z nich wyciągów, jeżeli spowoduje to konieczność podjęcia nieproporcjonalnych działań przekraczających proste czynności.</w:t>
      </w:r>
    </w:p>
    <w:p w14:paraId="2CF63726" w14:textId="0A232AC7" w:rsidR="00EF28B7" w:rsidRPr="004E0F02" w:rsidRDefault="00FB4531" w:rsidP="00EF28B7">
      <w:pPr>
        <w:pStyle w:val="USTustnpkodeksu"/>
      </w:pPr>
      <w:r w:rsidRPr="004E0F02">
        <w:t>5</w:t>
      </w:r>
      <w:r w:rsidR="00EF28B7" w:rsidRPr="004E0F02">
        <w:t>. Podmiot zobowiązany może przekazać lub udostępni</w:t>
      </w:r>
      <w:r w:rsidR="00A85508" w:rsidRPr="004E0F02">
        <w:t>a</w:t>
      </w:r>
      <w:r w:rsidR="00EF28B7" w:rsidRPr="004E0F02">
        <w:t xml:space="preserve">ć </w:t>
      </w:r>
      <w:r w:rsidR="00A03A7B" w:rsidRPr="004E0F02">
        <w:t xml:space="preserve">w celu </w:t>
      </w:r>
      <w:r w:rsidR="00EF28B7" w:rsidRPr="004E0F02">
        <w:t xml:space="preserve">ponownego wykorzystywania kod źródłowy </w:t>
      </w:r>
      <w:r w:rsidR="002029BE" w:rsidRPr="004E0F02">
        <w:t xml:space="preserve">oraz inne elementy </w:t>
      </w:r>
      <w:r w:rsidR="00EF28B7" w:rsidRPr="004E0F02">
        <w:t>programu komputerowego opracowanego</w:t>
      </w:r>
      <w:r w:rsidR="003F3502" w:rsidRPr="004E0F02">
        <w:t xml:space="preserve"> w </w:t>
      </w:r>
      <w:r w:rsidR="00EF28B7" w:rsidRPr="004E0F02">
        <w:t>ramach realizacji zadań publicznych.</w:t>
      </w:r>
    </w:p>
    <w:p w14:paraId="7CAE64D9" w14:textId="25159763" w:rsidR="00EF28B7" w:rsidRPr="004E0F02" w:rsidRDefault="00EF28B7" w:rsidP="00E45B1D">
      <w:pPr>
        <w:pStyle w:val="ARTartustawynprozporzdzenia"/>
        <w:keepNext/>
      </w:pPr>
      <w:r w:rsidRPr="004E0F02">
        <w:rPr>
          <w:rStyle w:val="Ppogrubienie"/>
        </w:rPr>
        <w:t>Art. 11.</w:t>
      </w:r>
      <w:r w:rsidRPr="004E0F02">
        <w:t xml:space="preserve"> 1. Podmiot zobowiązany udostępnia na swojej stronie podmiotowej Biuletynu Informacji Publicznej w menu przedmiotowym w kategorii </w:t>
      </w:r>
      <w:r w:rsidR="00E45B1D" w:rsidRPr="004E0F02">
        <w:t>„</w:t>
      </w:r>
      <w:r w:rsidRPr="004E0F02">
        <w:t>Ponowne wykorzystywanie</w:t>
      </w:r>
      <w:r w:rsidR="00E45B1D" w:rsidRPr="004E0F02">
        <w:t>”</w:t>
      </w:r>
      <w:r w:rsidRPr="004E0F02">
        <w:t>:</w:t>
      </w:r>
    </w:p>
    <w:p w14:paraId="495FD3F0" w14:textId="77777777" w:rsidR="00EF28B7" w:rsidRPr="004E0F02" w:rsidRDefault="00EF28B7" w:rsidP="00EF28B7">
      <w:pPr>
        <w:pStyle w:val="PKTpunkt"/>
      </w:pPr>
      <w:r w:rsidRPr="004E0F02">
        <w:t>1)</w:t>
      </w:r>
      <w:r w:rsidRPr="004E0F02">
        <w:tab/>
        <w:t>warunki ponownego wykorzystywania, jeżeli zostały przez niego określone;</w:t>
      </w:r>
    </w:p>
    <w:p w14:paraId="7C5288CF" w14:textId="1368A2BD" w:rsidR="00EF28B7" w:rsidRPr="004E0F02" w:rsidRDefault="00EF28B7" w:rsidP="00EF28B7">
      <w:pPr>
        <w:pStyle w:val="PKTpunkt"/>
      </w:pPr>
      <w:r w:rsidRPr="004E0F02">
        <w:t>2)</w:t>
      </w:r>
      <w:r w:rsidRPr="004E0F02">
        <w:tab/>
        <w:t>informację</w:t>
      </w:r>
      <w:r w:rsidR="00E45B1D" w:rsidRPr="004E0F02">
        <w:t xml:space="preserve"> o </w:t>
      </w:r>
      <w:r w:rsidRPr="004E0F02">
        <w:t xml:space="preserve">wysokości opłat za ponowne wykorzystywanie, w tym </w:t>
      </w:r>
      <w:r w:rsidR="00DF77E9" w:rsidRPr="004E0F02">
        <w:t>informację</w:t>
      </w:r>
      <w:r w:rsidR="00E45B1D" w:rsidRPr="004E0F02">
        <w:t xml:space="preserve"> o </w:t>
      </w:r>
      <w:r w:rsidRPr="004E0F02">
        <w:t>podstawie ich obliczania, jeżeli zostały przez niego ustalone, oraz informację o czynnikach, które będą brane pod uwagę przy rozpatrywaniu nietypowych wniosków</w:t>
      </w:r>
      <w:r w:rsidR="00E45B1D" w:rsidRPr="004E0F02">
        <w:t xml:space="preserve"> o </w:t>
      </w:r>
      <w:r w:rsidRPr="004E0F02">
        <w:t>ponowne wykorzystywanie</w:t>
      </w:r>
      <w:r w:rsidR="00E45B1D" w:rsidRPr="004E0F02">
        <w:t xml:space="preserve"> i </w:t>
      </w:r>
      <w:r w:rsidRPr="004E0F02">
        <w:t>które mogą mieć wpływ w szczególności na koszt lub czas przygotowania lub przekazania informacji;</w:t>
      </w:r>
    </w:p>
    <w:p w14:paraId="03079D08" w14:textId="6A8B951A" w:rsidR="00EF28B7" w:rsidRPr="004E0F02" w:rsidRDefault="004F2313" w:rsidP="00EF28B7">
      <w:pPr>
        <w:pStyle w:val="PKTpunkt"/>
      </w:pPr>
      <w:r w:rsidRPr="004E0F02">
        <w:t>3</w:t>
      </w:r>
      <w:r w:rsidR="00EF28B7" w:rsidRPr="004E0F02">
        <w:t>)</w:t>
      </w:r>
      <w:r w:rsidR="00EF28B7" w:rsidRPr="004E0F02">
        <w:tab/>
        <w:t>informację</w:t>
      </w:r>
      <w:r w:rsidR="00E45B1D" w:rsidRPr="004E0F02">
        <w:t xml:space="preserve"> o </w:t>
      </w:r>
      <w:r w:rsidR="00EF28B7" w:rsidRPr="004E0F02">
        <w:t>środkach prawnych przysługujących w przypadku odmowy wyrażenia zgody na ponowne wykorzystywanie oraz o prawie do sprzeciwu;</w:t>
      </w:r>
    </w:p>
    <w:p w14:paraId="561FF8E6" w14:textId="5CBAE275" w:rsidR="00EF28B7" w:rsidRPr="004E0F02" w:rsidRDefault="004F2313" w:rsidP="00EF28B7">
      <w:pPr>
        <w:pStyle w:val="PKTpunkt"/>
      </w:pPr>
      <w:r w:rsidRPr="004E0F02">
        <w:lastRenderedPageBreak/>
        <w:t>4</w:t>
      </w:r>
      <w:r w:rsidR="00EF28B7" w:rsidRPr="004E0F02">
        <w:t>)</w:t>
      </w:r>
      <w:r w:rsidR="00EF28B7" w:rsidRPr="004E0F02">
        <w:tab/>
      </w:r>
      <w:r w:rsidR="002029BE" w:rsidRPr="004E0F02">
        <w:t>umowy o udzielenie wyłącznych praw do korzystania z informacji sektora publicznego, powody ich zawarcia oraz wyniki ocen tych umów, o ile takie umowy zostały zawarte.</w:t>
      </w:r>
    </w:p>
    <w:p w14:paraId="2A37366D" w14:textId="251D3800" w:rsidR="007629C3" w:rsidRPr="004E0F02" w:rsidRDefault="007629C3" w:rsidP="00117211">
      <w:pPr>
        <w:pStyle w:val="USTustnpkodeksu"/>
      </w:pPr>
      <w:r w:rsidRPr="004E0F02">
        <w:t>2. Przepis</w:t>
      </w:r>
      <w:r w:rsidR="00E45B1D" w:rsidRPr="004E0F02">
        <w:t xml:space="preserve"> ust. 1 </w:t>
      </w:r>
      <w:r w:rsidRPr="004E0F02">
        <w:t xml:space="preserve">stosuje się </w:t>
      </w:r>
      <w:r w:rsidR="0071037E" w:rsidRPr="004E0F02">
        <w:t>do</w:t>
      </w:r>
      <w:r w:rsidRPr="004E0F02">
        <w:t xml:space="preserve"> podmiotów zobowiązanych będących muzeami państwowymi lub muzeami samorządowymi</w:t>
      </w:r>
      <w:r w:rsidR="00E45B1D" w:rsidRPr="004E0F02">
        <w:t xml:space="preserve"> w </w:t>
      </w:r>
      <w:r w:rsidR="0071037E" w:rsidRPr="004E0F02">
        <w:t>zakresie</w:t>
      </w:r>
      <w:r w:rsidRPr="004E0F02">
        <w:t xml:space="preserve"> informacji</w:t>
      </w:r>
      <w:r w:rsidR="00E45B1D" w:rsidRPr="004E0F02">
        <w:t xml:space="preserve"> o </w:t>
      </w:r>
      <w:r w:rsidR="0066039D" w:rsidRPr="004E0F02">
        <w:t>czynnikach branych</w:t>
      </w:r>
      <w:r w:rsidRPr="004E0F02">
        <w:t xml:space="preserve"> pod uwagę przy ustalaniu nakładanych opłat za ponowne wykorzystywanie.</w:t>
      </w:r>
    </w:p>
    <w:p w14:paraId="239C63DA" w14:textId="0D34BF80" w:rsidR="00EF28B7" w:rsidRPr="004E0F02" w:rsidRDefault="0071037E" w:rsidP="00EF28B7">
      <w:pPr>
        <w:pStyle w:val="USTustnpkodeksu"/>
      </w:pPr>
      <w:r w:rsidRPr="004E0F02">
        <w:t>3</w:t>
      </w:r>
      <w:r w:rsidR="00EF28B7" w:rsidRPr="004E0F02">
        <w:t>. Podmiot zobowiązany, który udostępnia informacje sektora publicznego w celu ponownego wykorzystywania w sposób inny niż w Biuletynie Informacji Publicznej lub na portalu danych, wraz z ich udostępnieniem informuje o braku warunków ponownego wykorzystywania lub opłat za ponowne wykorzystywanie albo określa te warunki lub wysokość opłat za ponowne wykorzystywanie.</w:t>
      </w:r>
    </w:p>
    <w:p w14:paraId="41AF79F0" w14:textId="3BA3441C" w:rsidR="00EF28B7" w:rsidRPr="004E0F02" w:rsidRDefault="0071037E" w:rsidP="00EF28B7">
      <w:pPr>
        <w:pStyle w:val="USTustnpkodeksu"/>
      </w:pPr>
      <w:r w:rsidRPr="004E0F02">
        <w:t>4</w:t>
      </w:r>
      <w:r w:rsidR="00EF28B7" w:rsidRPr="004E0F02">
        <w:t>. Podmiot zobowiązany, który udostępnia informacje sektora publicznego na portalu danych lub w sposób określony</w:t>
      </w:r>
      <w:r w:rsidR="00E45B1D" w:rsidRPr="004E0F02">
        <w:t xml:space="preserve"> w ust. </w:t>
      </w:r>
      <w:r w:rsidR="00AF626C" w:rsidRPr="004E0F02">
        <w:t>1</w:t>
      </w:r>
      <w:r w:rsidR="00117211" w:rsidRPr="004E0F02">
        <w:t xml:space="preserve">, </w:t>
      </w:r>
      <w:r w:rsidR="00E45B1D" w:rsidRPr="004E0F02">
        <w:t>2 lub</w:t>
      </w:r>
      <w:r w:rsidR="00EF28B7" w:rsidRPr="004E0F02">
        <w:t xml:space="preserve"> </w:t>
      </w:r>
      <w:r w:rsidR="00117211" w:rsidRPr="004E0F02">
        <w:t>3</w:t>
      </w:r>
      <w:r w:rsidR="00EF28B7" w:rsidRPr="004E0F02">
        <w:t>, informuje również o dostępności tych informacji w celu ponownego wykorzystywania.</w:t>
      </w:r>
    </w:p>
    <w:p w14:paraId="03E5BA91" w14:textId="1AA0A74B" w:rsidR="00EF28B7" w:rsidRPr="004E0F02" w:rsidRDefault="0071037E" w:rsidP="00EF28B7">
      <w:pPr>
        <w:pStyle w:val="USTustnpkodeksu"/>
      </w:pPr>
      <w:r w:rsidRPr="004E0F02">
        <w:t>5</w:t>
      </w:r>
      <w:r w:rsidR="00EF28B7" w:rsidRPr="004E0F02">
        <w:t xml:space="preserve">. Brak informacji o warunkach ponownego wykorzystywania informacji sektora publicznego </w:t>
      </w:r>
      <w:r w:rsidR="00356BEF" w:rsidRPr="004E0F02">
        <w:t xml:space="preserve">udostępnianych </w:t>
      </w:r>
      <w:r w:rsidR="00EF28B7" w:rsidRPr="004E0F02">
        <w:t xml:space="preserve">w Biuletynie Informacji Publicznej lub na portalu danych uważa się za </w:t>
      </w:r>
      <w:r w:rsidR="00356BEF" w:rsidRPr="004E0F02">
        <w:t xml:space="preserve">udostępnianie </w:t>
      </w:r>
      <w:r w:rsidR="00EF28B7" w:rsidRPr="004E0F02">
        <w:t>informacji sektora publicznego w celu ponownego wykorzystywania bez warunków.</w:t>
      </w:r>
    </w:p>
    <w:p w14:paraId="1F330001" w14:textId="210C1A39" w:rsidR="00EF28B7" w:rsidRPr="004E0F02" w:rsidRDefault="00EF28B7" w:rsidP="00EF28B7">
      <w:pPr>
        <w:pStyle w:val="ARTartustawynprozporzdzenia"/>
      </w:pPr>
      <w:r w:rsidRPr="004E0F02">
        <w:rPr>
          <w:rStyle w:val="Ppogrubienie"/>
        </w:rPr>
        <w:t>Art.</w:t>
      </w:r>
      <w:r w:rsidRPr="004E0F02">
        <w:rPr>
          <w:rStyle w:val="Ppogrubienie"/>
        </w:rPr>
        <w:tab/>
        <w:t>12.</w:t>
      </w:r>
      <w:r w:rsidRPr="004E0F02">
        <w:t> 1.</w:t>
      </w:r>
      <w:r w:rsidRPr="004E0F02">
        <w:tab/>
        <w:t xml:space="preserve">Warunki ponownego wykorzystywania określone przez podmiot zobowiązany w odniesieniu do informacji sektora publicznego </w:t>
      </w:r>
      <w:r w:rsidR="00D02FE0" w:rsidRPr="004E0F02">
        <w:t xml:space="preserve">udostępnianych </w:t>
      </w:r>
      <w:r w:rsidRPr="004E0F02">
        <w:t>na stronie podmiotowej Biuletynu Informacji Publicznej podmiotu zobowiązanego lub na portalu danych stanowią ofertę zawierającą te warunki.</w:t>
      </w:r>
    </w:p>
    <w:p w14:paraId="0293EA1A" w14:textId="6856D2D6" w:rsidR="00EF28B7" w:rsidRPr="004E0F02" w:rsidRDefault="00EF28B7" w:rsidP="00EF28B7">
      <w:pPr>
        <w:pStyle w:val="USTustnpkodeksu"/>
      </w:pPr>
      <w:r w:rsidRPr="004E0F02">
        <w:t>2. Warunki ponownego wykorzystywania określone przez podmiot zobowiązany</w:t>
      </w:r>
      <w:r w:rsidR="00E45B1D" w:rsidRPr="004E0F02">
        <w:t xml:space="preserve"> w </w:t>
      </w:r>
      <w:r w:rsidRPr="004E0F02">
        <w:t xml:space="preserve">odniesieniu do informacji sektora publicznego </w:t>
      </w:r>
      <w:r w:rsidR="00D02FE0" w:rsidRPr="004E0F02">
        <w:t xml:space="preserve">udostępnianych </w:t>
      </w:r>
      <w:r w:rsidRPr="004E0F02">
        <w:t>w inny sposób niż określony</w:t>
      </w:r>
      <w:r w:rsidR="00E45B1D" w:rsidRPr="004E0F02">
        <w:t xml:space="preserve"> w ust. 1 lub</w:t>
      </w:r>
      <w:r w:rsidRPr="004E0F02">
        <w:t xml:space="preserve"> informacja o wysokości opłat za ponowne wykorzystywanie, jeżeli zostały ustalone, stanowią ofertę zawierającą te warunki lub informację.</w:t>
      </w:r>
    </w:p>
    <w:p w14:paraId="7F88A2B6" w14:textId="65E340EE" w:rsidR="00EF28B7" w:rsidRPr="004E0F02" w:rsidRDefault="00EF28B7" w:rsidP="00EF28B7">
      <w:pPr>
        <w:pStyle w:val="USTustnpkodeksu"/>
      </w:pPr>
      <w:r w:rsidRPr="004E0F02">
        <w:t xml:space="preserve">3. Ponowne wykorzystywanie informacji sektora publicznego </w:t>
      </w:r>
      <w:r w:rsidR="00D02FE0" w:rsidRPr="004E0F02">
        <w:t xml:space="preserve">udostępnianych </w:t>
      </w:r>
      <w:r w:rsidRPr="004E0F02">
        <w:t>w sposób, o którym mowa</w:t>
      </w:r>
      <w:r w:rsidR="00E45B1D" w:rsidRPr="004E0F02">
        <w:t xml:space="preserve"> w art. 5 pkt </w:t>
      </w:r>
      <w:r w:rsidRPr="004E0F02">
        <w:t>1, uważa się za przyjęcie przez użytkownika oferty, o której mowa</w:t>
      </w:r>
      <w:r w:rsidR="00E45B1D" w:rsidRPr="004E0F02">
        <w:t xml:space="preserve"> w ust. 1 albo</w:t>
      </w:r>
      <w:r w:rsidRPr="004E0F02">
        <w:t xml:space="preserve"> 2.</w:t>
      </w:r>
    </w:p>
    <w:p w14:paraId="602AFD75" w14:textId="088E98E5" w:rsidR="00623948" w:rsidRPr="004E0F02" w:rsidRDefault="00EF28B7" w:rsidP="00FF7B8B">
      <w:pPr>
        <w:pStyle w:val="ARTartustawynprozporzdzenia"/>
      </w:pPr>
      <w:r w:rsidRPr="004E0F02">
        <w:rPr>
          <w:rStyle w:val="Ppogrubienie"/>
        </w:rPr>
        <w:t>Art. 13.</w:t>
      </w:r>
      <w:r w:rsidRPr="004E0F02">
        <w:t xml:space="preserve"> 1. Podmiot zobowiązany </w:t>
      </w:r>
      <w:r w:rsidR="00FF7B8B" w:rsidRPr="004E0F02">
        <w:t>zapewni</w:t>
      </w:r>
      <w:r w:rsidR="004C2AD0" w:rsidRPr="004E0F02">
        <w:t>a</w:t>
      </w:r>
      <w:r w:rsidR="00623948" w:rsidRPr="004E0F02">
        <w:t xml:space="preserve"> </w:t>
      </w:r>
      <w:r w:rsidRPr="004E0F02">
        <w:t>zgodność</w:t>
      </w:r>
      <w:r w:rsidR="003F3502" w:rsidRPr="004E0F02">
        <w:t xml:space="preserve"> z </w:t>
      </w:r>
      <w:r w:rsidRPr="004E0F02">
        <w:t xml:space="preserve">obowiązującymi przepisami, </w:t>
      </w:r>
      <w:r w:rsidR="00A67EE8" w:rsidRPr="004E0F02">
        <w:t xml:space="preserve">dostępność, </w:t>
      </w:r>
      <w:r w:rsidRPr="004E0F02">
        <w:t>poprawność, aktualność, kompletność</w:t>
      </w:r>
      <w:r w:rsidR="00E45B1D" w:rsidRPr="004E0F02">
        <w:t xml:space="preserve"> i </w:t>
      </w:r>
      <w:r w:rsidRPr="004E0F02">
        <w:t xml:space="preserve">jakość informacji sektora publicznego, które udostępnia lub przekazuje </w:t>
      </w:r>
      <w:r w:rsidR="00A03A7B" w:rsidRPr="004E0F02">
        <w:t xml:space="preserve">w celu </w:t>
      </w:r>
      <w:r w:rsidRPr="004E0F02">
        <w:t>ponownego wykorzystywania.</w:t>
      </w:r>
    </w:p>
    <w:p w14:paraId="512587E0" w14:textId="5C579CD8" w:rsidR="00EF28B7" w:rsidRPr="004E0F02" w:rsidRDefault="00EF28B7" w:rsidP="00A67EE8">
      <w:pPr>
        <w:pStyle w:val="USTustnpkodeksu"/>
      </w:pPr>
      <w:r w:rsidRPr="004E0F02">
        <w:lastRenderedPageBreak/>
        <w:t>2. Podmiot zobowiązany publikuje</w:t>
      </w:r>
      <w:r w:rsidR="003F3502" w:rsidRPr="004E0F02">
        <w:t xml:space="preserve"> w </w:t>
      </w:r>
      <w:r w:rsidRPr="004E0F02">
        <w:t>systemie teleinformatycznym,</w:t>
      </w:r>
      <w:r w:rsidR="003F3502" w:rsidRPr="004E0F02">
        <w:t xml:space="preserve"> w </w:t>
      </w:r>
      <w:r w:rsidRPr="004E0F02">
        <w:t xml:space="preserve">którym udostępnia informacje sektora publicznego </w:t>
      </w:r>
      <w:r w:rsidR="00A03A7B" w:rsidRPr="004E0F02">
        <w:t xml:space="preserve">w celu </w:t>
      </w:r>
      <w:r w:rsidRPr="004E0F02">
        <w:t>ponownego wykorzystywania, informacje</w:t>
      </w:r>
      <w:r w:rsidR="003F3502" w:rsidRPr="004E0F02">
        <w:t xml:space="preserve"> o </w:t>
      </w:r>
      <w:r w:rsidRPr="004E0F02">
        <w:t>zaprzestaniu udostępniania lub aktualizowania takich informacji</w:t>
      </w:r>
      <w:r w:rsidR="00A67EE8" w:rsidRPr="004E0F02">
        <w:t xml:space="preserve"> oraz informacje dotyczące dostępności informacji sektora publicznego udostępnianych za pośrednictwem API,</w:t>
      </w:r>
      <w:r w:rsidR="00E45B1D" w:rsidRPr="004E0F02">
        <w:t xml:space="preserve"> w </w:t>
      </w:r>
      <w:r w:rsidR="00A67EE8" w:rsidRPr="004E0F02">
        <w:t>tym</w:t>
      </w:r>
      <w:r w:rsidR="00E45B1D" w:rsidRPr="004E0F02">
        <w:t xml:space="preserve"> w </w:t>
      </w:r>
      <w:r w:rsidR="00A67EE8" w:rsidRPr="004E0F02">
        <w:t>szczególności danych dynamicznych.</w:t>
      </w:r>
    </w:p>
    <w:p w14:paraId="27DA8F77" w14:textId="77777777" w:rsidR="00EF28B7" w:rsidRPr="004E0F02" w:rsidRDefault="00EF28B7" w:rsidP="00EF28B7">
      <w:pPr>
        <w:pStyle w:val="ROZDZODDZOZNoznaczenierozdziauluboddziau"/>
      </w:pPr>
      <w:r w:rsidRPr="004E0F02">
        <w:t>Rozdział 3</w:t>
      </w:r>
    </w:p>
    <w:p w14:paraId="06BEA213" w14:textId="77777777" w:rsidR="00EF28B7" w:rsidRPr="004E0F02" w:rsidRDefault="00EF28B7" w:rsidP="00E45B1D">
      <w:pPr>
        <w:pStyle w:val="ROZDZODDZPRZEDMprzedmiotregulacjirozdziauluboddziau"/>
      </w:pPr>
      <w:r w:rsidRPr="004E0F02">
        <w:t>Warunki ponownego wykorzystywania</w:t>
      </w:r>
    </w:p>
    <w:p w14:paraId="5A5C5E36" w14:textId="77777777" w:rsidR="00EF28B7" w:rsidRPr="004E0F02" w:rsidRDefault="00EF28B7" w:rsidP="00EF28B7">
      <w:pPr>
        <w:pStyle w:val="ARTartustawynprozporzdzenia"/>
      </w:pPr>
      <w:r w:rsidRPr="004E0F02">
        <w:rPr>
          <w:rStyle w:val="Ppogrubienie"/>
        </w:rPr>
        <w:t>Art.</w:t>
      </w:r>
      <w:r w:rsidRPr="004E0F02">
        <w:rPr>
          <w:rStyle w:val="Ppogrubienie"/>
        </w:rPr>
        <w:tab/>
        <w:t>14.</w:t>
      </w:r>
      <w:r w:rsidRPr="004E0F02">
        <w:t> 1.</w:t>
      </w:r>
      <w:r w:rsidRPr="004E0F02">
        <w:tab/>
        <w:t>Informacje sektora publicznego udostępnia się lub przekazuje w celu ich ponownego wykorzystywania bezwarunkowo.</w:t>
      </w:r>
    </w:p>
    <w:p w14:paraId="24971702" w14:textId="027A93BD" w:rsidR="00EF28B7" w:rsidRPr="004E0F02" w:rsidRDefault="00EF28B7" w:rsidP="00EF28B7">
      <w:pPr>
        <w:pStyle w:val="USTustnpkodeksu"/>
      </w:pPr>
      <w:r w:rsidRPr="004E0F02">
        <w:t>2. Podmiot zobowiązany określa warunki ponownego wykorzystywania informacji sektora publicznego, mających cechy utworu lub przedmiotu praw pokrewnych w rozumieniu przepisów ustawy z dnia 4 lutego 1994 r. o prawie autorskim i prawach pokrewnych lub stanowiących bazę danych w rozumieniu przepisów ustawy z dnia 27 lipca 2001 r. o ochronie baz danych</w:t>
      </w:r>
      <w:r w:rsidR="00290F54" w:rsidRPr="004E0F02">
        <w:t xml:space="preserve"> lub objętych prawami do odmian roślin w rozumieniu przepisów ustawy z dnia 26 czerwca 2003 r. o ochronie prawnej odmian roślin</w:t>
      </w:r>
      <w:r w:rsidRPr="004E0F02">
        <w:t>, do których przysługują mu prawa</w:t>
      </w:r>
      <w:r w:rsidR="008E2074" w:rsidRPr="004E0F02">
        <w:t xml:space="preserve">. </w:t>
      </w:r>
      <w:r w:rsidRPr="004E0F02">
        <w:t>W szczególności podmiot zobowiązany określa warunek dotyczący obowiązku poinformowania o nazwisku, imieniu lub pseudonimie twórcy lub artysty wykonawcy, jeżeli jest znany.</w:t>
      </w:r>
    </w:p>
    <w:p w14:paraId="535A75F3" w14:textId="77777777" w:rsidR="00EF28B7" w:rsidRPr="004E0F02" w:rsidRDefault="00EF28B7" w:rsidP="00EF28B7">
      <w:pPr>
        <w:pStyle w:val="USTustnpkodeksu"/>
      </w:pPr>
      <w:r w:rsidRPr="004E0F02">
        <w:t>3. Podmiot zobowiązany może określić warunki ponownego wykorzystywania informacji sektora publicznego stosując standardowe otwarte licencje.</w:t>
      </w:r>
    </w:p>
    <w:p w14:paraId="506BDD64" w14:textId="77777777" w:rsidR="00EF28B7" w:rsidRPr="004E0F02" w:rsidRDefault="00EF28B7" w:rsidP="00EF28B7">
      <w:pPr>
        <w:pStyle w:val="USTustnpkodeksu"/>
      </w:pPr>
      <w:r w:rsidRPr="004E0F02">
        <w:t>4. Podmiot zobowiązany określa warunki ponownego wykorzystywania informacji sektora publicznego stanowiących dane osobowe.</w:t>
      </w:r>
    </w:p>
    <w:p w14:paraId="551937AB" w14:textId="560C6088" w:rsidR="00EF28B7" w:rsidRPr="004E0F02" w:rsidRDefault="00EF28B7" w:rsidP="00EF28B7">
      <w:pPr>
        <w:pStyle w:val="USTustnpkodeksu"/>
      </w:pPr>
      <w:r w:rsidRPr="004E0F02">
        <w:t>5. Podmiot zobowiązany może określić warunki ponownego wykorzystywania</w:t>
      </w:r>
      <w:r w:rsidR="002D3FC5" w:rsidRPr="004E0F02">
        <w:t>, o których mowa w art. 15,</w:t>
      </w:r>
      <w:r w:rsidRPr="004E0F02">
        <w:t xml:space="preserve"> w przypadkach innych niż określone</w:t>
      </w:r>
      <w:r w:rsidR="00E45B1D" w:rsidRPr="004E0F02">
        <w:t xml:space="preserve"> w ust. 2 i </w:t>
      </w:r>
      <w:r w:rsidRPr="004E0F02">
        <w:t>4.</w:t>
      </w:r>
    </w:p>
    <w:p w14:paraId="43797C01" w14:textId="77777777" w:rsidR="00EF28B7" w:rsidRPr="004E0F02" w:rsidRDefault="00EF28B7" w:rsidP="00E45B1D">
      <w:pPr>
        <w:pStyle w:val="ARTartustawynprozporzdzenia"/>
        <w:keepNext/>
      </w:pPr>
      <w:r w:rsidRPr="004E0F02">
        <w:rPr>
          <w:rStyle w:val="Ppogrubienie"/>
        </w:rPr>
        <w:t>Art. 15.</w:t>
      </w:r>
      <w:r w:rsidRPr="004E0F02">
        <w:t> 1. Warunki ponownego wykorzystywania mogą dotyczyć:</w:t>
      </w:r>
    </w:p>
    <w:p w14:paraId="269706E2" w14:textId="77777777" w:rsidR="00EF28B7" w:rsidRPr="004E0F02" w:rsidRDefault="00EF28B7" w:rsidP="00EF28B7">
      <w:pPr>
        <w:pStyle w:val="PKTpunkt"/>
      </w:pPr>
      <w:r w:rsidRPr="004E0F02">
        <w:t>1)</w:t>
      </w:r>
      <w:r w:rsidRPr="004E0F02">
        <w:tab/>
        <w:t>obowiązku poinformowania o źródle, czasie wytworzenia i pozyskania informacji od podmiotu zobowiązanego;</w:t>
      </w:r>
    </w:p>
    <w:p w14:paraId="0AEFE1C0" w14:textId="77777777" w:rsidR="00EF28B7" w:rsidRPr="004E0F02" w:rsidRDefault="00EF28B7" w:rsidP="00EF28B7">
      <w:pPr>
        <w:pStyle w:val="PKTpunkt"/>
      </w:pPr>
      <w:r w:rsidRPr="004E0F02">
        <w:t>2)</w:t>
      </w:r>
      <w:r w:rsidRPr="004E0F02">
        <w:tab/>
        <w:t>obowiązku poinformowania o przetworzeniu informacji ponownie wykorzystywanej;</w:t>
      </w:r>
    </w:p>
    <w:p w14:paraId="2FB42777" w14:textId="77777777" w:rsidR="00EF28B7" w:rsidRPr="004E0F02" w:rsidRDefault="00EF28B7" w:rsidP="00EF28B7">
      <w:pPr>
        <w:pStyle w:val="PKTpunkt"/>
      </w:pPr>
      <w:r w:rsidRPr="004E0F02">
        <w:t>3)</w:t>
      </w:r>
      <w:r w:rsidRPr="004E0F02">
        <w:tab/>
        <w:t>zakresu odpowiedzialności podmiotu zobowiązanego za udostępniane lub przekazywane informacje.</w:t>
      </w:r>
    </w:p>
    <w:p w14:paraId="32B9F655" w14:textId="77777777" w:rsidR="00D15633" w:rsidRPr="004E0F02" w:rsidRDefault="00EF28B7" w:rsidP="00EF28B7">
      <w:pPr>
        <w:pStyle w:val="USTustnpkodeksu"/>
      </w:pPr>
      <w:r w:rsidRPr="004E0F02">
        <w:lastRenderedPageBreak/>
        <w:t>2. Muzea państwowe, muzea samorządowe, biblioteki publiczne, biblioteki naukowe i archiwa mogą określać inne niż wymienione</w:t>
      </w:r>
      <w:r w:rsidR="00E45B1D" w:rsidRPr="004E0F02">
        <w:t xml:space="preserve"> w ust. </w:t>
      </w:r>
      <w:r w:rsidRPr="004E0F02">
        <w:t>1 warunki ponownego wykorzystywania ograniczające wykorzystywanie informacji sektora publicznego</w:t>
      </w:r>
      <w:r w:rsidR="00D15633" w:rsidRPr="004E0F02">
        <w:t>:</w:t>
      </w:r>
      <w:r w:rsidRPr="004E0F02">
        <w:t xml:space="preserve"> </w:t>
      </w:r>
    </w:p>
    <w:p w14:paraId="656E4016" w14:textId="3D61AC4A" w:rsidR="00D15633" w:rsidRPr="004E0F02" w:rsidRDefault="00D15633" w:rsidP="00D15633">
      <w:pPr>
        <w:pStyle w:val="PKTpunkt"/>
      </w:pPr>
      <w:r w:rsidRPr="004E0F02">
        <w:t xml:space="preserve">1) </w:t>
      </w:r>
      <w:r w:rsidRPr="004E0F02">
        <w:tab/>
        <w:t>w działalności komercyjnej lub na określonych polach eksploatacji, jeżeli dotyczą zbiorów o charakterze martyrologicznym oraz zawierają godło, barwy i hymn Rzeczypospolitej Polskiej, a także herby, reprodukcje orderów, odznaczeń lub odznak honorowych, odznak lub oznak wojskowych bądź innych odznaczeń;</w:t>
      </w:r>
    </w:p>
    <w:p w14:paraId="2D5ADA39" w14:textId="025C6D47" w:rsidR="00EF28B7" w:rsidRPr="004E0F02" w:rsidRDefault="00D15633" w:rsidP="00D15633">
      <w:pPr>
        <w:pStyle w:val="PKTpunkt"/>
      </w:pPr>
      <w:r w:rsidRPr="004E0F02">
        <w:t>2)</w:t>
      </w:r>
      <w:r w:rsidRPr="004E0F02">
        <w:tab/>
      </w:r>
      <w:r w:rsidR="00EF28B7" w:rsidRPr="004E0F02">
        <w:t xml:space="preserve">do działalności niekomercyjnej, jeżeli są powiązane z obiektami objętymi roszczeniami </w:t>
      </w:r>
      <w:r w:rsidR="009A7440" w:rsidRPr="004E0F02">
        <w:t xml:space="preserve">lub prawami </w:t>
      </w:r>
      <w:r w:rsidR="00EF28B7" w:rsidRPr="004E0F02">
        <w:t>osób trzecich lub niebędącymi własnością podmiotu zobowiązanego.</w:t>
      </w:r>
    </w:p>
    <w:p w14:paraId="117275F5" w14:textId="63EDC38E" w:rsidR="00EF28B7" w:rsidRPr="004E0F02" w:rsidRDefault="00EF28B7" w:rsidP="00EF28B7">
      <w:pPr>
        <w:pStyle w:val="ARTartustawynprozporzdzenia"/>
      </w:pPr>
      <w:r w:rsidRPr="004E0F02">
        <w:rPr>
          <w:rStyle w:val="Ppogrubienie"/>
        </w:rPr>
        <w:t>Art. 16.</w:t>
      </w:r>
      <w:r w:rsidRPr="004E0F02">
        <w:t xml:space="preserve">  </w:t>
      </w:r>
      <w:r w:rsidR="003328FE" w:rsidRPr="004E0F02">
        <w:t xml:space="preserve">Warunki </w:t>
      </w:r>
      <w:r w:rsidRPr="004E0F02">
        <w:t>ponownego wykorzystywania</w:t>
      </w:r>
      <w:r w:rsidR="003328FE" w:rsidRPr="004E0F02">
        <w:t xml:space="preserve"> określone przez podmiot zobowiązany muszą być obiektywne, proporcjonalne, niedyskryminacyjne i </w:t>
      </w:r>
      <w:r w:rsidRPr="004E0F02">
        <w:t xml:space="preserve">nie </w:t>
      </w:r>
      <w:r w:rsidR="003328FE" w:rsidRPr="004E0F02">
        <w:t xml:space="preserve">mogą </w:t>
      </w:r>
      <w:r w:rsidRPr="004E0F02">
        <w:t>w sposób nieuzasadniony ograniczać możliwości ponownego wykorzystywania</w:t>
      </w:r>
      <w:r w:rsidR="003328FE" w:rsidRPr="004E0F02">
        <w:t xml:space="preserve"> informacji sektora publicznego</w:t>
      </w:r>
      <w:r w:rsidRPr="004E0F02">
        <w:t>.</w:t>
      </w:r>
    </w:p>
    <w:p w14:paraId="6F23E2C9" w14:textId="77777777" w:rsidR="00EF28B7" w:rsidRPr="004E0F02" w:rsidRDefault="00EF28B7" w:rsidP="00EF28B7">
      <w:pPr>
        <w:pStyle w:val="ROZDZODDZOZNoznaczenierozdziauluboddziau"/>
      </w:pPr>
      <w:r w:rsidRPr="004E0F02">
        <w:t>Rozdział 4</w:t>
      </w:r>
    </w:p>
    <w:p w14:paraId="6408B5AF" w14:textId="77777777" w:rsidR="00A04FB4" w:rsidRPr="004E0F02" w:rsidRDefault="00015BAE" w:rsidP="00A04FB4">
      <w:pPr>
        <w:pStyle w:val="TYTDZPRZEDMprzedmiotregulacjitytuulubdziau"/>
      </w:pPr>
      <w:r w:rsidRPr="004E0F02">
        <w:t xml:space="preserve"> Zasady ustalania opłat za ponowne wykorzystywanie </w:t>
      </w:r>
    </w:p>
    <w:p w14:paraId="3DBF4448" w14:textId="3D2ED40A" w:rsidR="00EF28B7" w:rsidRPr="004E0F02" w:rsidRDefault="00EF28B7" w:rsidP="00EF28B7">
      <w:pPr>
        <w:pStyle w:val="ARTartustawynprozporzdzenia"/>
      </w:pPr>
      <w:r w:rsidRPr="004E0F02">
        <w:rPr>
          <w:rStyle w:val="Ppogrubienie"/>
        </w:rPr>
        <w:t>Art.</w:t>
      </w:r>
      <w:r w:rsidRPr="004E0F02">
        <w:rPr>
          <w:rStyle w:val="Ppogrubienie"/>
        </w:rPr>
        <w:tab/>
        <w:t>17.</w:t>
      </w:r>
      <w:r w:rsidRPr="004E0F02">
        <w:t> Informacje sektora publicznego udostępnia się lub przekazuje w celu ich ponownego wykorzystywania bezpłatnie.</w:t>
      </w:r>
    </w:p>
    <w:p w14:paraId="6DAB5538" w14:textId="77777777" w:rsidR="00EF28B7" w:rsidRPr="004E0F02" w:rsidRDefault="00EF28B7" w:rsidP="00EF28B7">
      <w:pPr>
        <w:pStyle w:val="ARTartustawynprozporzdzenia"/>
      </w:pPr>
      <w:r w:rsidRPr="004E0F02">
        <w:rPr>
          <w:rStyle w:val="Ppogrubienie"/>
        </w:rPr>
        <w:t>Art.</w:t>
      </w:r>
      <w:r w:rsidRPr="004E0F02">
        <w:rPr>
          <w:rStyle w:val="Ppogrubienie"/>
        </w:rPr>
        <w:tab/>
        <w:t>18.</w:t>
      </w:r>
      <w:r w:rsidRPr="004E0F02">
        <w:t> 1.</w:t>
      </w:r>
      <w:r w:rsidRPr="004E0F02">
        <w:tab/>
        <w:t>Podmiot zobowiązany może nałożyć opłatę za ponowne wykorzystywanie, jeżeli przygotowanie lub przekazanie informacji w sposób lub w formie wskazanych</w:t>
      </w:r>
      <w:r w:rsidR="004937AA" w:rsidRPr="004E0F02">
        <w:t xml:space="preserve"> </w:t>
      </w:r>
      <w:r w:rsidRPr="004E0F02">
        <w:t>we wniosku o ponowne wykorzystywanie wymaga poniesienia dodatkowych kosztów.</w:t>
      </w:r>
    </w:p>
    <w:p w14:paraId="60F14818" w14:textId="4B457CF4" w:rsidR="00EF28B7" w:rsidRPr="004E0F02" w:rsidRDefault="00EF28B7" w:rsidP="00EF28B7">
      <w:pPr>
        <w:pStyle w:val="USTustnpkodeksu"/>
      </w:pPr>
      <w:r w:rsidRPr="004E0F02">
        <w:t>2. Ustalając wysokość opłaty,</w:t>
      </w:r>
      <w:r w:rsidR="00E45B1D" w:rsidRPr="004E0F02">
        <w:t xml:space="preserve"> o </w:t>
      </w:r>
      <w:r w:rsidRPr="004E0F02">
        <w:t>której mowa</w:t>
      </w:r>
      <w:r w:rsidR="00E45B1D" w:rsidRPr="004E0F02">
        <w:t xml:space="preserve"> w ust. </w:t>
      </w:r>
      <w:r w:rsidRPr="004E0F02">
        <w:t>1, uwzględnia się koszty przygotowania lub przekazania informacji sektora publicznego w określony sposób i w określonej formie oraz inne czynniki, które będą brane pod uwagę przy rozpatrywaniu wniosków o ponowne wykorzystywanie, które mogą mieć wpływ w szczególności na koszt lub czas przygotowania lub przekazania informacji. Łączna wysokość opłaty nie może przekroczyć sumy kosztów poniesionych bezpośrednio w celu przygotowania lub przekazania informacji sektora publicznego w celu ponownego wykorzystywania w określony sposób i w określonej formie.</w:t>
      </w:r>
    </w:p>
    <w:p w14:paraId="23679936" w14:textId="489F6BE8" w:rsidR="00EF28B7" w:rsidRPr="004E0F02" w:rsidRDefault="00EF28B7" w:rsidP="00EF28B7">
      <w:pPr>
        <w:pStyle w:val="USTustnpkodeksu"/>
      </w:pPr>
      <w:r w:rsidRPr="004E0F02">
        <w:t>3. Podmiot zobowiązany ustalając wysokość opłaty, o której mowa</w:t>
      </w:r>
      <w:r w:rsidR="00E45B1D" w:rsidRPr="004E0F02">
        <w:t xml:space="preserve"> w ust. </w:t>
      </w:r>
      <w:r w:rsidRPr="004E0F02">
        <w:t>2, może uwzględnić koszty czynności związanych z anonimizacją danych osobowych oraz ze środkami zastosowanymi w celu ochrony tajemnicy przedsiębiorstwa.</w:t>
      </w:r>
    </w:p>
    <w:p w14:paraId="586D73F3" w14:textId="43D78983" w:rsidR="00EF28B7" w:rsidRPr="004E0F02" w:rsidRDefault="00EF28B7" w:rsidP="00EF28B7">
      <w:pPr>
        <w:pStyle w:val="ARTartustawynprozporzdzenia"/>
      </w:pPr>
      <w:r w:rsidRPr="004E0F02">
        <w:rPr>
          <w:rStyle w:val="Ppogrubienie"/>
        </w:rPr>
        <w:lastRenderedPageBreak/>
        <w:t>Art.</w:t>
      </w:r>
      <w:r w:rsidRPr="004E0F02">
        <w:rPr>
          <w:rStyle w:val="Ppogrubienie"/>
        </w:rPr>
        <w:tab/>
        <w:t>19.</w:t>
      </w:r>
      <w:r w:rsidRPr="004E0F02">
        <w:t> 1.</w:t>
      </w:r>
      <w:r w:rsidRPr="004E0F02">
        <w:tab/>
        <w:t xml:space="preserve">Muzea państwowe i muzea samorządowe w przypadku udostępniania lub przekazywania informacji sektora publicznego </w:t>
      </w:r>
      <w:r w:rsidR="00A03A7B" w:rsidRPr="004E0F02">
        <w:t xml:space="preserve">w celu </w:t>
      </w:r>
      <w:r w:rsidRPr="004E0F02">
        <w:t>ponownego wykorzystywania w celach innych niż niekomercyjne o charakterze badawczym, naukowym lub edukacyjnym mogą nałożyć opłat</w:t>
      </w:r>
      <w:r w:rsidR="00575974" w:rsidRPr="004E0F02">
        <w:t>ę</w:t>
      </w:r>
      <w:r w:rsidRPr="004E0F02">
        <w:t xml:space="preserve"> wyższ</w:t>
      </w:r>
      <w:r w:rsidR="00575974" w:rsidRPr="004E0F02">
        <w:t>ą</w:t>
      </w:r>
      <w:r w:rsidRPr="004E0F02">
        <w:t xml:space="preserve"> niż ustalon</w:t>
      </w:r>
      <w:r w:rsidR="00575974" w:rsidRPr="004E0F02">
        <w:t>a</w:t>
      </w:r>
      <w:r w:rsidRPr="004E0F02">
        <w:t xml:space="preserve"> na podstawie</w:t>
      </w:r>
      <w:r w:rsidR="00E45B1D" w:rsidRPr="004E0F02">
        <w:t xml:space="preserve"> art. </w:t>
      </w:r>
      <w:r w:rsidRPr="004E0F02">
        <w:t>18.</w:t>
      </w:r>
    </w:p>
    <w:p w14:paraId="7A06081E" w14:textId="16768284" w:rsidR="00EF28B7" w:rsidRPr="004E0F02" w:rsidRDefault="00EF28B7" w:rsidP="00EF28B7">
      <w:pPr>
        <w:pStyle w:val="USTustnpkodeksu"/>
      </w:pPr>
      <w:r w:rsidRPr="004E0F02">
        <w:t>2. Ustalając wysokość opłaty, o której mowa</w:t>
      </w:r>
      <w:r w:rsidR="00E45B1D" w:rsidRPr="004E0F02">
        <w:t xml:space="preserve"> w ust. </w:t>
      </w:r>
      <w:r w:rsidRPr="004E0F02">
        <w:t>1, uwzględnia się koszty gromadzenia, produkowania, reprodukowania, rozpowszechniania, ochrony i ustalania praw. Łączna wysokość opłaty nie może przekroczyć sumy tych kosztów wraz z rozsądnym zwrotem z inwestycji, jednak nie wyższym niż 5 punktów procentowych powyżej stopy referencyjnej Narodowego Banku Polskiego.</w:t>
      </w:r>
    </w:p>
    <w:p w14:paraId="547254BE" w14:textId="7F10EC3F" w:rsidR="00EF28B7" w:rsidRPr="004E0F02" w:rsidRDefault="00EF28B7" w:rsidP="00EF28B7">
      <w:pPr>
        <w:pStyle w:val="USTustnpkodeksu"/>
      </w:pPr>
      <w:r w:rsidRPr="004E0F02">
        <w:t>3. Minister właściwy do spraw kultury i ochrony dziedzictwa narodowego w porozumieniu</w:t>
      </w:r>
      <w:r w:rsidR="00E45B1D" w:rsidRPr="004E0F02">
        <w:t xml:space="preserve"> z </w:t>
      </w:r>
      <w:r w:rsidRPr="004E0F02">
        <w:t>ministrem właściwym do spraw informatyzacji określi, w drodze rozporządzenia, maksymalne stawki opłat za ponowne wykorzystywanie nakładanych przez muzea państwowe i muzea samorządowe, biorąc pod uwagę koszty oraz rozsądny zwrot z inwestycji, o których mowa</w:t>
      </w:r>
      <w:r w:rsidR="00E45B1D" w:rsidRPr="004E0F02">
        <w:t xml:space="preserve"> w ust. </w:t>
      </w:r>
      <w:r w:rsidRPr="004E0F02">
        <w:t>2.</w:t>
      </w:r>
    </w:p>
    <w:p w14:paraId="4129E1F4" w14:textId="77777777" w:rsidR="00EF28B7" w:rsidRPr="004E0F02" w:rsidRDefault="00EF28B7" w:rsidP="00EF28B7">
      <w:pPr>
        <w:pStyle w:val="ARTartustawynprozporzdzenia"/>
      </w:pPr>
      <w:r w:rsidRPr="004E0F02">
        <w:rPr>
          <w:rStyle w:val="Ppogrubienie"/>
        </w:rPr>
        <w:t>Art. 20.</w:t>
      </w:r>
      <w:r w:rsidRPr="004E0F02">
        <w:t> 1. Podmiot zobowiązany, umożliwiając ponowne wykorzystywanie, w sposób stały i bezpośredni w czasie rzeczywistym, informacji sektora publicznego gromadzonych i przechowywanych w jego systemie teleinformatycznym, może nałożyć opł</w:t>
      </w:r>
      <w:r w:rsidR="009B2593" w:rsidRPr="004E0F02">
        <w:t xml:space="preserve">atę za ponowne wykorzystywanie, </w:t>
      </w:r>
      <w:r w:rsidRPr="004E0F02">
        <w:t>uwzględniającą koszty wynikające z dostosowania systemu teleinformatycznego oraz warunków technicznych i organizacyjnych do realizacji wniosku o ponowne wykorzystywanie.</w:t>
      </w:r>
    </w:p>
    <w:p w14:paraId="7ECE1AD0" w14:textId="60C04E3A" w:rsidR="00EF28B7" w:rsidRPr="004E0F02" w:rsidRDefault="00EF28B7" w:rsidP="00EF28B7">
      <w:pPr>
        <w:pStyle w:val="USTustnpkodeksu"/>
      </w:pPr>
      <w:r w:rsidRPr="004E0F02">
        <w:t>2. Opłata, o której mowa</w:t>
      </w:r>
      <w:r w:rsidR="00E45B1D" w:rsidRPr="004E0F02">
        <w:t xml:space="preserve"> w ust. </w:t>
      </w:r>
      <w:r w:rsidRPr="004E0F02">
        <w:t>1</w:t>
      </w:r>
      <w:r w:rsidR="00AF626C" w:rsidRPr="004E0F02">
        <w:t>,</w:t>
      </w:r>
      <w:r w:rsidRPr="004E0F02">
        <w:t> nie ma zastosowania do udostępnionych poprzez API danych dynamicznych i danych o wysokiej wartości, zgodnie z przepisami rozdziału 5.</w:t>
      </w:r>
    </w:p>
    <w:p w14:paraId="43E7A136" w14:textId="77777777" w:rsidR="00EF28B7" w:rsidRPr="004E0F02" w:rsidRDefault="00EF28B7" w:rsidP="00EF28B7">
      <w:pPr>
        <w:pStyle w:val="ARTartustawynprozporzdzenia"/>
      </w:pPr>
      <w:r w:rsidRPr="004E0F02">
        <w:rPr>
          <w:rStyle w:val="Ppogrubienie"/>
        </w:rPr>
        <w:t>Art.</w:t>
      </w:r>
      <w:r w:rsidRPr="004E0F02">
        <w:rPr>
          <w:rStyle w:val="Ppogrubienie"/>
        </w:rPr>
        <w:tab/>
        <w:t>21.</w:t>
      </w:r>
      <w:r w:rsidR="00B02447" w:rsidRPr="004E0F02">
        <w:t xml:space="preserve"> </w:t>
      </w:r>
      <w:r w:rsidRPr="004E0F02">
        <w:t>Podmiot zobowiązany wskazuje, na żądanie wnioskodawcy, sposób obliczenia opłaty za ponowne wykorzystywanie w odniesieniu do złożonego przez wnioskodawcę wniosku o ponowne wykorzystywanie.</w:t>
      </w:r>
    </w:p>
    <w:p w14:paraId="28207401" w14:textId="77777777" w:rsidR="00EF28B7" w:rsidRPr="004E0F02" w:rsidRDefault="00EF28B7" w:rsidP="00EF28B7">
      <w:pPr>
        <w:pStyle w:val="ROZDZODDZOZNoznaczenierozdziauluboddziau"/>
      </w:pPr>
      <w:r w:rsidRPr="004E0F02">
        <w:t>Rozdział 5</w:t>
      </w:r>
    </w:p>
    <w:p w14:paraId="000F069C" w14:textId="77777777" w:rsidR="00EF28B7" w:rsidRPr="004E0F02" w:rsidRDefault="00EF28B7" w:rsidP="00E45B1D">
      <w:pPr>
        <w:pStyle w:val="ROZDZODDZPRZEDMprzedmiotregulacjirozdziauluboddziau"/>
      </w:pPr>
      <w:r w:rsidRPr="004E0F02">
        <w:t>Dane o wysokiej wartości, dane dynamiczne i dane badawcze</w:t>
      </w:r>
    </w:p>
    <w:p w14:paraId="5B7D43A5" w14:textId="7D511E0C" w:rsidR="00EF28B7" w:rsidRPr="004E0F02" w:rsidRDefault="00EF28B7" w:rsidP="00EF28B7">
      <w:pPr>
        <w:pStyle w:val="ARTartustawynprozporzdzenia"/>
      </w:pPr>
      <w:r w:rsidRPr="004E0F02">
        <w:rPr>
          <w:rStyle w:val="Ppogrubienie"/>
        </w:rPr>
        <w:t>Art. 22.</w:t>
      </w:r>
      <w:r w:rsidRPr="004E0F02">
        <w:t> 1. Dane badawcze</w:t>
      </w:r>
      <w:r w:rsidR="00667220" w:rsidRPr="004E0F02">
        <w:t>, będące w posiadaniu podmiotów, o których mowa w art. 7 ust. 1 ustawy z dnia 20 lipca 2018 r. – Prawo o szkolnictwie wyższym i nauce,</w:t>
      </w:r>
      <w:r w:rsidRPr="004E0F02">
        <w:t xml:space="preserve"> podlegają ponownemu wykorzystywaniu, o ile są finansowane ze środków publicznych oraz zostały już</w:t>
      </w:r>
      <w:r w:rsidR="00E927CE" w:rsidRPr="004E0F02">
        <w:t xml:space="preserve"> publicznie</w:t>
      </w:r>
      <w:r w:rsidRPr="004E0F02">
        <w:t xml:space="preserve"> udostępnione w systemie teleinformatycznym podmiotu zobowiązanego, w szczególności w repozytorium instytucjonalnym lub tematycznym.</w:t>
      </w:r>
    </w:p>
    <w:p w14:paraId="6F98FAE4" w14:textId="77777777" w:rsidR="00EF28B7" w:rsidRPr="004E0F02" w:rsidRDefault="00EF28B7" w:rsidP="00EF28B7">
      <w:pPr>
        <w:pStyle w:val="USTustnpkodeksu"/>
      </w:pPr>
      <w:r w:rsidRPr="004E0F02">
        <w:lastRenderedPageBreak/>
        <w:t>2. Ponowne wykorzystywanie danych badawczych jest bezpłatne.</w:t>
      </w:r>
    </w:p>
    <w:p w14:paraId="5ADDDE29" w14:textId="63C0440C" w:rsidR="00EF28B7" w:rsidRPr="004E0F02" w:rsidRDefault="00EF28B7" w:rsidP="00E45B1D">
      <w:pPr>
        <w:pStyle w:val="ARTartustawynprozporzdzenia"/>
        <w:keepNext/>
      </w:pPr>
      <w:r w:rsidRPr="004E0F02">
        <w:rPr>
          <w:rStyle w:val="Ppogrubienie"/>
        </w:rPr>
        <w:t>Art. 23.</w:t>
      </w:r>
      <w:r w:rsidRPr="004E0F02">
        <w:t> </w:t>
      </w:r>
      <w:r w:rsidR="00E43677" w:rsidRPr="004E0F02">
        <w:t xml:space="preserve">1. </w:t>
      </w:r>
      <w:r w:rsidRPr="004E0F02">
        <w:t>Minister właściwy do spraw szkolnictwa wyższego</w:t>
      </w:r>
      <w:r w:rsidR="003F3502" w:rsidRPr="004E0F02">
        <w:t xml:space="preserve"> i </w:t>
      </w:r>
      <w:r w:rsidRPr="004E0F02">
        <w:t>nauki</w:t>
      </w:r>
      <w:r w:rsidR="003F3502" w:rsidRPr="004E0F02">
        <w:t xml:space="preserve"> </w:t>
      </w:r>
      <w:r w:rsidR="00E266E3" w:rsidRPr="004E0F02">
        <w:t xml:space="preserve">opracowuje </w:t>
      </w:r>
      <w:r w:rsidR="00FD7DB7" w:rsidRPr="004E0F02">
        <w:t xml:space="preserve">Politykę </w:t>
      </w:r>
      <w:r w:rsidRPr="004E0F02">
        <w:t xml:space="preserve">otwartego dostępu do danych badawczych finansowanych ze środków publicznych, </w:t>
      </w:r>
      <w:r w:rsidR="00FD7DB7" w:rsidRPr="004E0F02">
        <w:t xml:space="preserve">zwaną dalej „Polityką otwartego dostępu do danych badawczych”, </w:t>
      </w:r>
      <w:r w:rsidRPr="004E0F02">
        <w:t>uwzględniając</w:t>
      </w:r>
      <w:r w:rsidR="003F3502" w:rsidRPr="004E0F02">
        <w:t xml:space="preserve"> w </w:t>
      </w:r>
      <w:r w:rsidRPr="004E0F02">
        <w:t>szczególności:</w:t>
      </w:r>
    </w:p>
    <w:p w14:paraId="0CA0A2F0" w14:textId="2B88CADD" w:rsidR="00EF28B7" w:rsidRPr="004E0F02" w:rsidRDefault="00EF28B7" w:rsidP="00EF28B7">
      <w:pPr>
        <w:pStyle w:val="PKTpunkt"/>
      </w:pPr>
      <w:r w:rsidRPr="004E0F02">
        <w:t>1)</w:t>
      </w:r>
      <w:r w:rsidRPr="004E0F02">
        <w:tab/>
        <w:t>aktualny stan udostępniania danych badawczych</w:t>
      </w:r>
      <w:r w:rsidR="00BC41A2" w:rsidRPr="004E0F02">
        <w:t xml:space="preserve"> oraz standardy i dobre praktyki w</w:t>
      </w:r>
      <w:r w:rsidR="00450BBC" w:rsidRPr="004E0F02">
        <w:t> </w:t>
      </w:r>
      <w:r w:rsidR="00BC41A2" w:rsidRPr="004E0F02">
        <w:t>zakresie udostępniania danych badawczych</w:t>
      </w:r>
      <w:r w:rsidRPr="004E0F02">
        <w:t>;</w:t>
      </w:r>
    </w:p>
    <w:p w14:paraId="09979514" w14:textId="77777777" w:rsidR="00EF28B7" w:rsidRPr="004E0F02" w:rsidRDefault="00EF28B7" w:rsidP="00EF28B7">
      <w:pPr>
        <w:pStyle w:val="PKTpunkt"/>
      </w:pPr>
      <w:r w:rsidRPr="004E0F02">
        <w:t>2)</w:t>
      </w:r>
      <w:r w:rsidRPr="004E0F02">
        <w:tab/>
        <w:t>obowiązujący stan prawny;</w:t>
      </w:r>
    </w:p>
    <w:p w14:paraId="173EC31C" w14:textId="293CC141" w:rsidR="00EF28B7" w:rsidRPr="004E0F02" w:rsidRDefault="00EF28B7" w:rsidP="00EF28B7">
      <w:pPr>
        <w:pStyle w:val="PKTpunkt"/>
      </w:pPr>
      <w:r w:rsidRPr="004E0F02">
        <w:t>3)</w:t>
      </w:r>
      <w:r w:rsidRPr="004E0F02">
        <w:tab/>
        <w:t>kierunki rozwoju w zakresie otwartego dostępu do danych badawczych</w:t>
      </w:r>
      <w:r w:rsidR="003F3502" w:rsidRPr="004E0F02">
        <w:t xml:space="preserve"> i </w:t>
      </w:r>
      <w:r w:rsidRPr="004E0F02">
        <w:t>zarządzania wynikami badań naukowych;</w:t>
      </w:r>
    </w:p>
    <w:p w14:paraId="5DCFCE67" w14:textId="3258F695" w:rsidR="00EF28B7" w:rsidRPr="004E0F02" w:rsidRDefault="00EF28B7" w:rsidP="00EF28B7">
      <w:pPr>
        <w:pStyle w:val="PKTpunkt"/>
      </w:pPr>
      <w:r w:rsidRPr="004E0F02">
        <w:t>4)</w:t>
      </w:r>
      <w:r w:rsidR="00AF626C" w:rsidRPr="004E0F02">
        <w:tab/>
      </w:r>
      <w:r w:rsidR="008A54A9" w:rsidRPr="004E0F02">
        <w:t>P</w:t>
      </w:r>
      <w:r w:rsidRPr="004E0F02">
        <w:t>rogram</w:t>
      </w:r>
      <w:r w:rsidR="007124EB" w:rsidRPr="004E0F02">
        <w:t xml:space="preserve"> o</w:t>
      </w:r>
      <w:r w:rsidR="00CF466E" w:rsidRPr="004E0F02">
        <w:t xml:space="preserve">twierania </w:t>
      </w:r>
      <w:r w:rsidR="007124EB" w:rsidRPr="004E0F02">
        <w:t>d</w:t>
      </w:r>
      <w:r w:rsidR="00CF466E" w:rsidRPr="004E0F02">
        <w:t>anych</w:t>
      </w:r>
      <w:r w:rsidRPr="004E0F02">
        <w:t>.</w:t>
      </w:r>
    </w:p>
    <w:p w14:paraId="33BC95DC" w14:textId="7976DB15" w:rsidR="00E43677" w:rsidRPr="004E0F02" w:rsidRDefault="00E43677" w:rsidP="00863F8F">
      <w:pPr>
        <w:pStyle w:val="USTustnpkodeksu"/>
      </w:pPr>
      <w:r w:rsidRPr="004E0F02">
        <w:t xml:space="preserve">2. Politykę otwartego dostępu do danych badawczych </w:t>
      </w:r>
      <w:r w:rsidR="00863F8F" w:rsidRPr="004E0F02">
        <w:t>kieruj</w:t>
      </w:r>
      <w:r w:rsidR="008F0D3C">
        <w:t>e</w:t>
      </w:r>
      <w:r w:rsidR="00863F8F" w:rsidRPr="004E0F02">
        <w:t xml:space="preserve"> się do podmiotów, o których mowa w art. 7 ustawy z dnia 20 lipca 2018 r. – Prawo o szkolnictwie wyższym i nauce.</w:t>
      </w:r>
    </w:p>
    <w:p w14:paraId="082E3F54" w14:textId="77777777" w:rsidR="00EF28B7" w:rsidRPr="004E0F02" w:rsidRDefault="00EF28B7" w:rsidP="00E45B1D">
      <w:pPr>
        <w:pStyle w:val="ARTartustawynprozporzdzenia"/>
        <w:keepNext/>
      </w:pPr>
      <w:r w:rsidRPr="004E0F02">
        <w:rPr>
          <w:rStyle w:val="Ppogrubienie"/>
        </w:rPr>
        <w:t>Art. 24.</w:t>
      </w:r>
      <w:r w:rsidRPr="004E0F02">
        <w:t> 1. Dane dynamiczne udostępnia się w celu ich ponownego wykorzystywania:</w:t>
      </w:r>
    </w:p>
    <w:p w14:paraId="7140414B" w14:textId="5FBFAE89" w:rsidR="00EF28B7" w:rsidRPr="004E0F02" w:rsidRDefault="00EF28B7" w:rsidP="00EF28B7">
      <w:pPr>
        <w:pStyle w:val="PKTpunkt"/>
      </w:pPr>
      <w:r w:rsidRPr="004E0F02">
        <w:t>1)</w:t>
      </w:r>
      <w:r w:rsidRPr="004E0F02">
        <w:tab/>
        <w:t>niez</w:t>
      </w:r>
      <w:r w:rsidR="00567D47" w:rsidRPr="004E0F02">
        <w:t>włocznie po ich zgromadzeniu</w:t>
      </w:r>
      <w:r w:rsidR="008F0D3C">
        <w:t>;</w:t>
      </w:r>
    </w:p>
    <w:p w14:paraId="4915DAE6" w14:textId="77777777" w:rsidR="00EF28B7" w:rsidRPr="004E0F02" w:rsidRDefault="00EF28B7" w:rsidP="00EF28B7">
      <w:pPr>
        <w:pStyle w:val="PKTpunkt"/>
      </w:pPr>
      <w:r w:rsidRPr="004E0F02">
        <w:t>2)</w:t>
      </w:r>
      <w:r w:rsidRPr="004E0F02">
        <w:tab/>
        <w:t>za pośrednictwem API</w:t>
      </w:r>
      <w:r w:rsidR="00B02447" w:rsidRPr="004E0F02">
        <w:t xml:space="preserve"> </w:t>
      </w:r>
      <w:r w:rsidRPr="004E0F02">
        <w:t>oraz</w:t>
      </w:r>
    </w:p>
    <w:p w14:paraId="667B7EBF" w14:textId="77777777" w:rsidR="00EF28B7" w:rsidRPr="004E0F02" w:rsidRDefault="00EF28B7" w:rsidP="00EF28B7">
      <w:pPr>
        <w:pStyle w:val="PKTpunkt"/>
      </w:pPr>
      <w:r w:rsidRPr="004E0F02">
        <w:t>3)</w:t>
      </w:r>
      <w:r w:rsidRPr="004E0F02">
        <w:tab/>
        <w:t>jeżeli to możliwe – do zbiorczego pobrania.</w:t>
      </w:r>
    </w:p>
    <w:p w14:paraId="2ABA5362" w14:textId="5797ABFD" w:rsidR="00EF28B7" w:rsidRPr="004E0F02" w:rsidRDefault="00EF28B7" w:rsidP="00EF28B7">
      <w:pPr>
        <w:pStyle w:val="USTustnpkodeksu"/>
      </w:pPr>
      <w:r w:rsidRPr="004E0F02">
        <w:t>2. W przypadku gdy udostępnianie</w:t>
      </w:r>
      <w:r w:rsidR="00E45B1D" w:rsidRPr="004E0F02">
        <w:t xml:space="preserve"> w </w:t>
      </w:r>
      <w:r w:rsidRPr="004E0F02">
        <w:t>celu ponownego wykorzystywania danych dynamicznych niezwłocznie po ich zgromadzeniu, za pośrednictwem API, przekraczałoby możliwości finansowe lub techniczne podmiotu zobowiązanego, dane te udostępnia się w terminie późniejszym, jednak bez uszczerbku dla możliwości wykorzystania ich potencjału gospodarczego i społecznego.</w:t>
      </w:r>
    </w:p>
    <w:p w14:paraId="491DA2F4" w14:textId="0C22B4D0" w:rsidR="00EF28B7" w:rsidRPr="004E0F02" w:rsidRDefault="00EF28B7" w:rsidP="00E45B1D">
      <w:pPr>
        <w:pStyle w:val="ARTartustawynprozporzdzenia"/>
        <w:keepNext/>
      </w:pPr>
      <w:r w:rsidRPr="004E0F02">
        <w:rPr>
          <w:rStyle w:val="Ppogrubienie"/>
        </w:rPr>
        <w:t>Art. 25.</w:t>
      </w:r>
      <w:r w:rsidRPr="004E0F02">
        <w:t> 1. Dane</w:t>
      </w:r>
      <w:r w:rsidR="00E45B1D" w:rsidRPr="004E0F02">
        <w:t xml:space="preserve"> o </w:t>
      </w:r>
      <w:r w:rsidRPr="004E0F02">
        <w:t>wysokiej wartości udostępnia się w celu ich ponownego wykorzystywania:</w:t>
      </w:r>
    </w:p>
    <w:p w14:paraId="11014801" w14:textId="70ADEA2A" w:rsidR="00EF28B7" w:rsidRPr="004E0F02" w:rsidRDefault="00EF28B7" w:rsidP="00EF28B7">
      <w:pPr>
        <w:pStyle w:val="PKTpunkt"/>
      </w:pPr>
      <w:r w:rsidRPr="004E0F02">
        <w:t>1)</w:t>
      </w:r>
      <w:r w:rsidRPr="004E0F02">
        <w:tab/>
        <w:t>bezpłatnie</w:t>
      </w:r>
      <w:r w:rsidR="008F0D3C">
        <w:t>;</w:t>
      </w:r>
    </w:p>
    <w:p w14:paraId="79340E46" w14:textId="5AFD449E" w:rsidR="00EF28B7" w:rsidRPr="004E0F02" w:rsidRDefault="00EF28B7" w:rsidP="00EF28B7">
      <w:pPr>
        <w:pStyle w:val="PKTpunkt"/>
      </w:pPr>
      <w:r w:rsidRPr="004E0F02">
        <w:t>2)</w:t>
      </w:r>
      <w:r w:rsidRPr="004E0F02">
        <w:tab/>
        <w:t>w formacie nadającym się do odczytu maszynowego</w:t>
      </w:r>
      <w:r w:rsidR="008F0D3C">
        <w:t>;</w:t>
      </w:r>
    </w:p>
    <w:p w14:paraId="5D14914F" w14:textId="77777777" w:rsidR="00EF28B7" w:rsidRPr="004E0F02" w:rsidRDefault="00EF28B7" w:rsidP="00EF28B7">
      <w:pPr>
        <w:pStyle w:val="PKTpunkt"/>
      </w:pPr>
      <w:r w:rsidRPr="004E0F02">
        <w:t>3)</w:t>
      </w:r>
      <w:r w:rsidRPr="004E0F02">
        <w:tab/>
        <w:t>za pośrednictwem API oraz</w:t>
      </w:r>
    </w:p>
    <w:p w14:paraId="79176388" w14:textId="77777777" w:rsidR="00EF28B7" w:rsidRPr="004E0F02" w:rsidRDefault="00EF28B7" w:rsidP="00EF28B7">
      <w:pPr>
        <w:pStyle w:val="PKTpunkt"/>
      </w:pPr>
      <w:r w:rsidRPr="004E0F02">
        <w:t>4)</w:t>
      </w:r>
      <w:r w:rsidRPr="004E0F02">
        <w:tab/>
        <w:t>jeżeli to możliwe – do zbiorczego pobrania.</w:t>
      </w:r>
    </w:p>
    <w:p w14:paraId="11523E76" w14:textId="0B808D29" w:rsidR="00EF28B7" w:rsidRPr="004E0F02" w:rsidRDefault="00EF28B7" w:rsidP="00EF28B7">
      <w:pPr>
        <w:pStyle w:val="USTustnpkodeksu"/>
      </w:pPr>
      <w:r w:rsidRPr="004E0F02">
        <w:t>2. Podmioty, o których mowa</w:t>
      </w:r>
      <w:r w:rsidR="00E45B1D" w:rsidRPr="004E0F02">
        <w:t xml:space="preserve"> w art. 3 pkt 5</w:t>
      </w:r>
      <w:r w:rsidR="008F0D3C">
        <w:t>,</w:t>
      </w:r>
      <w:r w:rsidR="00E45B1D" w:rsidRPr="004E0F02">
        <w:t xml:space="preserve"> oraz</w:t>
      </w:r>
      <w:r w:rsidRPr="004E0F02">
        <w:t xml:space="preserve"> muzea państwowe, muzea samorządowe, biblioteki publiczne, biblioteki naukowe oraz archiwa, w przypadku udostępniania danych o wysokiej wartości w celu ich ponownego wykorzystywania, mogą nałożyć opłaty za ponowne wykorzystywanie zgodnie z przepisami </w:t>
      </w:r>
      <w:r w:rsidR="00486A72" w:rsidRPr="004E0F02">
        <w:t>r</w:t>
      </w:r>
      <w:r w:rsidRPr="004E0F02">
        <w:t>ozdziału 4.</w:t>
      </w:r>
    </w:p>
    <w:p w14:paraId="60ABBDB5" w14:textId="1A1BD4B9" w:rsidR="00D545D5" w:rsidRPr="004E0F02" w:rsidRDefault="00D545D5" w:rsidP="00D545D5">
      <w:pPr>
        <w:pStyle w:val="ARTartustawynprozporzdzenia"/>
      </w:pPr>
      <w:r w:rsidRPr="004E0F02">
        <w:rPr>
          <w:rStyle w:val="Ppogrubienie"/>
        </w:rPr>
        <w:lastRenderedPageBreak/>
        <w:t>Art. 26.</w:t>
      </w:r>
      <w:r w:rsidRPr="004E0F02">
        <w:t xml:space="preserve"> Minister właściwy do spraw budownictwa, planowania i zagospodarowania przestrzennego oraz mieszkalnictwa w porozumieniu z ministrem właściwym do spraw informatyzacji określi, w drodze rozporządzenia:</w:t>
      </w:r>
    </w:p>
    <w:p w14:paraId="3799C177" w14:textId="277C58DB" w:rsidR="00D545D5" w:rsidRPr="004E0F02" w:rsidRDefault="00D545D5" w:rsidP="00D545D5">
      <w:pPr>
        <w:pStyle w:val="PKTpunkt"/>
      </w:pPr>
      <w:r w:rsidRPr="004E0F02">
        <w:t>1)</w:t>
      </w:r>
      <w:r w:rsidRPr="004E0F02">
        <w:tab/>
        <w:t xml:space="preserve">listę będących </w:t>
      </w:r>
      <w:r w:rsidR="00450BBC" w:rsidRPr="004E0F02">
        <w:t xml:space="preserve">w </w:t>
      </w:r>
      <w:r w:rsidRPr="004E0F02">
        <w:t xml:space="preserve">posiadaniu </w:t>
      </w:r>
      <w:r w:rsidR="00C634CD" w:rsidRPr="004E0F02">
        <w:t>podmiotu zobowiązanego</w:t>
      </w:r>
      <w:r w:rsidRPr="004E0F02">
        <w:t xml:space="preserve"> </w:t>
      </w:r>
      <w:r w:rsidR="00204AEE" w:rsidRPr="004E0F02">
        <w:t xml:space="preserve">danych </w:t>
      </w:r>
      <w:r w:rsidRPr="004E0F02">
        <w:t xml:space="preserve">o wysokiej wartości </w:t>
      </w:r>
      <w:r w:rsidR="00C634CD" w:rsidRPr="004E0F02">
        <w:t>z</w:t>
      </w:r>
      <w:r w:rsidR="00204AEE" w:rsidRPr="004E0F02">
        <w:t> </w:t>
      </w:r>
      <w:r w:rsidRPr="004E0F02">
        <w:t>kategorii tematycznej: dane geoprzestrzenne</w:t>
      </w:r>
      <w:r w:rsidR="00B2080A" w:rsidRPr="004E0F02">
        <w:t>;</w:t>
      </w:r>
    </w:p>
    <w:p w14:paraId="209FBD9C" w14:textId="048ADF08" w:rsidR="00D545D5" w:rsidRPr="004E0F02" w:rsidRDefault="00D545D5" w:rsidP="00D545D5">
      <w:pPr>
        <w:pStyle w:val="PKTpunkt"/>
      </w:pPr>
      <w:r w:rsidRPr="004E0F02">
        <w:t>2)</w:t>
      </w:r>
      <w:r w:rsidRPr="004E0F02">
        <w:tab/>
        <w:t xml:space="preserve">harmonogram udostępniania przez </w:t>
      </w:r>
      <w:r w:rsidR="00204AEE" w:rsidRPr="004E0F02">
        <w:t>podmiot zobowiązany</w:t>
      </w:r>
      <w:r w:rsidRPr="004E0F02">
        <w:t xml:space="preserve"> na portalu danych:</w:t>
      </w:r>
    </w:p>
    <w:p w14:paraId="2B39D92C" w14:textId="77777777" w:rsidR="00D545D5" w:rsidRPr="004E0F02" w:rsidRDefault="00D545D5" w:rsidP="00D545D5">
      <w:pPr>
        <w:pStyle w:val="LITlitera"/>
      </w:pPr>
      <w:r w:rsidRPr="004E0F02">
        <w:t>a)</w:t>
      </w:r>
      <w:r w:rsidRPr="004E0F02">
        <w:tab/>
        <w:t>danych, o których mowa w pkt 1, oraz metadanych albo</w:t>
      </w:r>
    </w:p>
    <w:p w14:paraId="654D3C1B" w14:textId="676EC5B9" w:rsidR="00D545D5" w:rsidRPr="004E0F02" w:rsidRDefault="00D545D5" w:rsidP="00D545D5">
      <w:pPr>
        <w:pStyle w:val="LITlitera"/>
      </w:pPr>
      <w:r w:rsidRPr="004E0F02">
        <w:t>b)</w:t>
      </w:r>
      <w:r w:rsidRPr="004E0F02">
        <w:tab/>
        <w:t>metadanych, w przypadku gdy dane, o których m</w:t>
      </w:r>
      <w:r w:rsidR="00951CA5" w:rsidRPr="004E0F02">
        <w:t>owa w pkt 1, przechowywane są w </w:t>
      </w:r>
      <w:r w:rsidRPr="004E0F02">
        <w:t>publicznie dostępnym systemie teleinformat</w:t>
      </w:r>
      <w:r w:rsidR="00951CA5" w:rsidRPr="004E0F02">
        <w:t>ycznym podmiotu zobowiązanego i </w:t>
      </w:r>
      <w:r w:rsidRPr="004E0F02">
        <w:t>udostępniane w celu ich ponownego wykorzystywania w sposób, o którym mowa w art. 25 ust. 1</w:t>
      </w:r>
      <w:r w:rsidR="00B2080A" w:rsidRPr="004E0F02">
        <w:t>;</w:t>
      </w:r>
    </w:p>
    <w:p w14:paraId="5F07D0D1" w14:textId="3E559DF3" w:rsidR="00D545D5" w:rsidRPr="004E0F02" w:rsidRDefault="00D545D5" w:rsidP="00D545D5">
      <w:pPr>
        <w:pStyle w:val="PKTpunkt"/>
      </w:pPr>
      <w:r w:rsidRPr="004E0F02">
        <w:t>3)</w:t>
      </w:r>
      <w:r w:rsidRPr="004E0F02">
        <w:tab/>
        <w:t xml:space="preserve">sposób udostępniania, o którym mowa w pkt 2, mając na względzie posiadaną przez </w:t>
      </w:r>
      <w:r w:rsidR="00204AEE" w:rsidRPr="004E0F02">
        <w:t>podmiot zobowiązany</w:t>
      </w:r>
      <w:r w:rsidR="00156628" w:rsidRPr="004E0F02">
        <w:t xml:space="preserve"> </w:t>
      </w:r>
      <w:r w:rsidRPr="004E0F02">
        <w:t>infrastrukturę teleinformatyc</w:t>
      </w:r>
      <w:r w:rsidR="00204AEE" w:rsidRPr="004E0F02">
        <w:t>zną umożliwiającą gromadzenie w </w:t>
      </w:r>
      <w:r w:rsidRPr="004E0F02">
        <w:t xml:space="preserve">niej danych o wysokiej wartości oraz ich udostępnianie </w:t>
      </w:r>
      <w:r w:rsidR="00A03A7B" w:rsidRPr="004E0F02">
        <w:t>w celu</w:t>
      </w:r>
      <w:r w:rsidRPr="004E0F02">
        <w:t xml:space="preserve"> ponownego wykorzystywania, a także możliwości techniczne przechowywania tych danych na portalu danych</w:t>
      </w:r>
      <w:r w:rsidR="00B2080A" w:rsidRPr="004E0F02">
        <w:t>;</w:t>
      </w:r>
    </w:p>
    <w:p w14:paraId="49E2C92D" w14:textId="2BD48AFD" w:rsidR="00D545D5" w:rsidRPr="004E0F02" w:rsidRDefault="00D545D5" w:rsidP="00D545D5">
      <w:pPr>
        <w:pStyle w:val="PKTpunkt"/>
      </w:pPr>
      <w:r w:rsidRPr="004E0F02">
        <w:t>4)</w:t>
      </w:r>
      <w:r w:rsidRPr="004E0F02">
        <w:tab/>
        <w:t>format danych, o których mowa w pkt 2</w:t>
      </w:r>
      <w:r w:rsidR="00B2080A" w:rsidRPr="004E0F02">
        <w:t>;</w:t>
      </w:r>
    </w:p>
    <w:p w14:paraId="1C4CA8BA" w14:textId="4CEA83F8" w:rsidR="00D545D5" w:rsidRPr="004E0F02" w:rsidRDefault="00D545D5" w:rsidP="00D545D5">
      <w:pPr>
        <w:pStyle w:val="PKTpunkt"/>
      </w:pPr>
      <w:r w:rsidRPr="004E0F02">
        <w:t>5)</w:t>
      </w:r>
      <w:r w:rsidRPr="004E0F02">
        <w:tab/>
        <w:t>możliwe warunki ponownego wykorzystywania, o których mowa w rozdziale 3</w:t>
      </w:r>
      <w:r w:rsidR="00B2080A" w:rsidRPr="004E0F02">
        <w:t>;</w:t>
      </w:r>
    </w:p>
    <w:p w14:paraId="43F1B831" w14:textId="77777777" w:rsidR="00D545D5" w:rsidRPr="004E0F02" w:rsidRDefault="00D545D5" w:rsidP="00D545D5">
      <w:pPr>
        <w:pStyle w:val="PKTpunkt"/>
      </w:pPr>
      <w:r w:rsidRPr="004E0F02">
        <w:t>6)</w:t>
      </w:r>
      <w:r w:rsidRPr="004E0F02">
        <w:tab/>
        <w:t>częstotliwość aktualizacji danych oraz metadanych, o których mowa w pkt 2, mając na względzie konieczność zagwarantowania ich aktualności</w:t>
      </w:r>
    </w:p>
    <w:p w14:paraId="2B341ABA" w14:textId="1F804947" w:rsidR="00D545D5" w:rsidRPr="004E0F02" w:rsidRDefault="004C4AB4" w:rsidP="004C4AB4">
      <w:pPr>
        <w:pStyle w:val="CZWSPPKTczwsplnapunktw"/>
      </w:pPr>
      <w:r w:rsidRPr="004E0F02">
        <w:t>-</w:t>
      </w:r>
      <w:r w:rsidR="00D545D5" w:rsidRPr="004E0F02">
        <w:tab/>
        <w:t>mając na względzie wykaz ustanowiony przez Komisję Europejską na podstawie art. 14 ust. 1 dyrektywy Parlamentu Europejskiego i Rady</w:t>
      </w:r>
      <w:r w:rsidR="004918EC" w:rsidRPr="004E0F02">
        <w:t xml:space="preserve"> (UE) </w:t>
      </w:r>
      <w:r w:rsidR="00D545D5" w:rsidRPr="004E0F02">
        <w:t>2019/1024</w:t>
      </w:r>
      <w:r w:rsidR="00951CA5" w:rsidRPr="004E0F02">
        <w:t xml:space="preserve"> z dnia 20 czerwca 2019 r. w </w:t>
      </w:r>
      <w:r w:rsidR="00D545D5" w:rsidRPr="004E0F02">
        <w:t>sprawie otwartych danych i ponownego wykorzystywania informacji sektora publicznego.</w:t>
      </w:r>
    </w:p>
    <w:p w14:paraId="08F20CC4" w14:textId="5E7E9BEA" w:rsidR="00D545D5" w:rsidRPr="004E0F02" w:rsidRDefault="00D545D5" w:rsidP="00D545D5">
      <w:pPr>
        <w:pStyle w:val="ARTartustawynprozporzdzenia"/>
      </w:pPr>
      <w:r w:rsidRPr="004E0F02">
        <w:rPr>
          <w:rStyle w:val="Ppogrubienie"/>
        </w:rPr>
        <w:t>Art. 2</w:t>
      </w:r>
      <w:r w:rsidR="009170BA" w:rsidRPr="004E0F02">
        <w:rPr>
          <w:rStyle w:val="Ppogrubienie"/>
        </w:rPr>
        <w:t>7</w:t>
      </w:r>
      <w:r w:rsidRPr="004E0F02">
        <w:rPr>
          <w:rStyle w:val="Ppogrubienie"/>
        </w:rPr>
        <w:t>.</w:t>
      </w:r>
      <w:r w:rsidRPr="004E0F02">
        <w:t xml:space="preserve">  </w:t>
      </w:r>
      <w:r w:rsidR="009170BA" w:rsidRPr="004E0F02">
        <w:t>Minister właściwy do spraw klimatu</w:t>
      </w:r>
      <w:r w:rsidR="00951CA5" w:rsidRPr="004E0F02">
        <w:t xml:space="preserve">, </w:t>
      </w:r>
      <w:r w:rsidR="009170BA" w:rsidRPr="004E0F02">
        <w:t xml:space="preserve">minister właściwy do spraw środowiska </w:t>
      </w:r>
      <w:r w:rsidR="00951CA5" w:rsidRPr="004E0F02">
        <w:t xml:space="preserve">oraz minister właściwy do spraw gospodarki wodnej </w:t>
      </w:r>
      <w:r w:rsidRPr="004E0F02">
        <w:t>w porozumieniu z ministrem właściwym do spraw informatyzacji określą, w drodze rozporządzenia, odrębnie dla każdego z podmiotów zobowiązanych:</w:t>
      </w:r>
    </w:p>
    <w:p w14:paraId="4359E366" w14:textId="1482C0A2" w:rsidR="00B2080A" w:rsidRPr="004E0F02" w:rsidRDefault="00D545D5" w:rsidP="00D545D5">
      <w:pPr>
        <w:pStyle w:val="PKTpunkt"/>
      </w:pPr>
      <w:r w:rsidRPr="004E0F02">
        <w:t>1)</w:t>
      </w:r>
      <w:r w:rsidRPr="004E0F02">
        <w:tab/>
        <w:t xml:space="preserve">listę będących w posiadaniu </w:t>
      </w:r>
      <w:r w:rsidR="000F60D0" w:rsidRPr="004E0F02">
        <w:t>podmiotu zobowiązanego</w:t>
      </w:r>
      <w:r w:rsidR="00B2080A" w:rsidRPr="004E0F02">
        <w:t xml:space="preserve"> danych o </w:t>
      </w:r>
      <w:r w:rsidRPr="004E0F02">
        <w:t xml:space="preserve">wysokiej wartości </w:t>
      </w:r>
      <w:r w:rsidR="000F60D0" w:rsidRPr="004E0F02">
        <w:t>z </w:t>
      </w:r>
      <w:r w:rsidRPr="004E0F02">
        <w:t>kategorii tematyczn</w:t>
      </w:r>
      <w:r w:rsidR="00592248" w:rsidRPr="004E0F02">
        <w:t>ych</w:t>
      </w:r>
      <w:r w:rsidRPr="004E0F02">
        <w:t xml:space="preserve">: </w:t>
      </w:r>
    </w:p>
    <w:p w14:paraId="48E081B6" w14:textId="34F024C0" w:rsidR="00D545D5" w:rsidRPr="004E0F02" w:rsidRDefault="00B2080A" w:rsidP="00B2080A">
      <w:pPr>
        <w:pStyle w:val="LITlitera"/>
      </w:pPr>
      <w:r w:rsidRPr="004E0F02">
        <w:t xml:space="preserve">a) </w:t>
      </w:r>
      <w:r w:rsidR="00D545D5" w:rsidRPr="004E0F02">
        <w:t xml:space="preserve">dane dotyczące </w:t>
      </w:r>
      <w:r w:rsidR="00951CA5" w:rsidRPr="004E0F02">
        <w:t xml:space="preserve">obserwacji Ziemi i </w:t>
      </w:r>
      <w:r w:rsidR="00F51E92" w:rsidRPr="004E0F02">
        <w:t>ś</w:t>
      </w:r>
      <w:r w:rsidR="00951CA5" w:rsidRPr="004E0F02">
        <w:t>rodowiska</w:t>
      </w:r>
      <w:r w:rsidR="00D545D5" w:rsidRPr="004E0F02">
        <w:t>,</w:t>
      </w:r>
    </w:p>
    <w:p w14:paraId="23360ABE" w14:textId="7C1B4B45" w:rsidR="00B2080A" w:rsidRPr="004E0F02" w:rsidRDefault="00B2080A" w:rsidP="00B2080A">
      <w:pPr>
        <w:pStyle w:val="LITlitera"/>
      </w:pPr>
      <w:r w:rsidRPr="004E0F02">
        <w:t>b) dane meteorologiczne;</w:t>
      </w:r>
    </w:p>
    <w:p w14:paraId="67DCFA08" w14:textId="63CE114C" w:rsidR="00D545D5" w:rsidRPr="004E0F02" w:rsidRDefault="00D545D5" w:rsidP="00D545D5">
      <w:pPr>
        <w:pStyle w:val="PKTpunkt"/>
      </w:pPr>
      <w:r w:rsidRPr="004E0F02">
        <w:t>2)</w:t>
      </w:r>
      <w:r w:rsidRPr="004E0F02">
        <w:tab/>
        <w:t xml:space="preserve">harmonogram udostępniania przez </w:t>
      </w:r>
      <w:r w:rsidR="000F60D0" w:rsidRPr="004E0F02">
        <w:t>podmiot zobowiązany</w:t>
      </w:r>
      <w:r w:rsidR="00592248" w:rsidRPr="004E0F02">
        <w:t xml:space="preserve"> </w:t>
      </w:r>
      <w:r w:rsidRPr="004E0F02">
        <w:t>na portalu danych:</w:t>
      </w:r>
    </w:p>
    <w:p w14:paraId="2370F9B9" w14:textId="77777777" w:rsidR="00D545D5" w:rsidRPr="004E0F02" w:rsidRDefault="00D545D5" w:rsidP="00D545D5">
      <w:pPr>
        <w:pStyle w:val="LITlitera"/>
      </w:pPr>
      <w:r w:rsidRPr="004E0F02">
        <w:t>a)</w:t>
      </w:r>
      <w:r w:rsidRPr="004E0F02">
        <w:tab/>
        <w:t>danych, o których mowa w pkt 1, oraz metadanych albo</w:t>
      </w:r>
    </w:p>
    <w:p w14:paraId="4028E880" w14:textId="6816A0D8" w:rsidR="00D545D5" w:rsidRPr="004E0F02" w:rsidRDefault="00D545D5" w:rsidP="00D545D5">
      <w:pPr>
        <w:pStyle w:val="LITlitera"/>
      </w:pPr>
      <w:r w:rsidRPr="004E0F02">
        <w:lastRenderedPageBreak/>
        <w:t>b)</w:t>
      </w:r>
      <w:r w:rsidRPr="004E0F02">
        <w:tab/>
        <w:t>metadanych, w przypadku gdy dane, o których m</w:t>
      </w:r>
      <w:r w:rsidR="00592248" w:rsidRPr="004E0F02">
        <w:t>owa w pkt 1, przechowywane są w </w:t>
      </w:r>
      <w:r w:rsidRPr="004E0F02">
        <w:t>publicznie dostępnym systemie teleinformat</w:t>
      </w:r>
      <w:r w:rsidR="00592248" w:rsidRPr="004E0F02">
        <w:t>ycznym podmiotu zobowiązanego i </w:t>
      </w:r>
      <w:r w:rsidRPr="004E0F02">
        <w:t>udostępniane w celu ich ponownego wykorzystywania w sposób, o którym mowa w art. 25 ust. 1</w:t>
      </w:r>
      <w:r w:rsidR="004C4AB4" w:rsidRPr="004E0F02">
        <w:t>;</w:t>
      </w:r>
    </w:p>
    <w:p w14:paraId="7C6C5C79" w14:textId="143F8C98" w:rsidR="00D545D5" w:rsidRPr="004E0F02" w:rsidRDefault="00D545D5" w:rsidP="00D545D5">
      <w:pPr>
        <w:pStyle w:val="PKTpunkt"/>
      </w:pPr>
      <w:r w:rsidRPr="004E0F02">
        <w:t>3)</w:t>
      </w:r>
      <w:r w:rsidRPr="004E0F02">
        <w:tab/>
        <w:t xml:space="preserve">sposób udostępniania, o którym mowa w pkt 2, mając na względzie posiadaną przez </w:t>
      </w:r>
      <w:r w:rsidR="000F60D0" w:rsidRPr="004E0F02">
        <w:t>podmiot zobowiązany</w:t>
      </w:r>
      <w:r w:rsidR="00592248" w:rsidRPr="004E0F02">
        <w:t xml:space="preserve"> </w:t>
      </w:r>
      <w:r w:rsidRPr="004E0F02">
        <w:t>infrastrukturę teleinformatyc</w:t>
      </w:r>
      <w:r w:rsidR="000F60D0" w:rsidRPr="004E0F02">
        <w:t>zną umożliwiającą gromadzenie w </w:t>
      </w:r>
      <w:r w:rsidRPr="004E0F02">
        <w:t xml:space="preserve">niej danych o wysokiej wartości oraz ich udostępnianie </w:t>
      </w:r>
      <w:r w:rsidR="004C4AB4" w:rsidRPr="004E0F02">
        <w:t>w </w:t>
      </w:r>
      <w:r w:rsidR="00A03A7B" w:rsidRPr="004E0F02">
        <w:t>celu</w:t>
      </w:r>
      <w:r w:rsidRPr="004E0F02">
        <w:t xml:space="preserve"> ponownego wykorzystywania, a także możliwości techniczne przechowywani</w:t>
      </w:r>
      <w:r w:rsidR="004C4AB4" w:rsidRPr="004E0F02">
        <w:t>a tych danych na portalu danych;</w:t>
      </w:r>
    </w:p>
    <w:p w14:paraId="64249653" w14:textId="5F1F7BCC" w:rsidR="00D545D5" w:rsidRPr="004E0F02" w:rsidRDefault="00D545D5" w:rsidP="00D545D5">
      <w:pPr>
        <w:pStyle w:val="PKTpunkt"/>
      </w:pPr>
      <w:r w:rsidRPr="004E0F02">
        <w:t>4)</w:t>
      </w:r>
      <w:r w:rsidRPr="004E0F02">
        <w:tab/>
        <w:t>format</w:t>
      </w:r>
      <w:r w:rsidR="004C4AB4" w:rsidRPr="004E0F02">
        <w:t xml:space="preserve"> danych, o których mowa w pkt 2;</w:t>
      </w:r>
    </w:p>
    <w:p w14:paraId="6AA7DE78" w14:textId="235BF488" w:rsidR="00D545D5" w:rsidRPr="004E0F02" w:rsidRDefault="00D545D5" w:rsidP="00D545D5">
      <w:pPr>
        <w:pStyle w:val="PKTpunkt"/>
      </w:pPr>
      <w:r w:rsidRPr="004E0F02">
        <w:t>5)</w:t>
      </w:r>
      <w:r w:rsidRPr="004E0F02">
        <w:tab/>
        <w:t>możliwe warunki ponownego wykorzystywani</w:t>
      </w:r>
      <w:r w:rsidR="004C4AB4" w:rsidRPr="004E0F02">
        <w:t>a, o których mowa w rozdziale 3;</w:t>
      </w:r>
    </w:p>
    <w:p w14:paraId="450E8626" w14:textId="77777777" w:rsidR="00D545D5" w:rsidRPr="004E0F02" w:rsidRDefault="00D545D5" w:rsidP="00D545D5">
      <w:pPr>
        <w:pStyle w:val="PKTpunkt"/>
      </w:pPr>
      <w:r w:rsidRPr="004E0F02">
        <w:t>6)</w:t>
      </w:r>
      <w:r w:rsidRPr="004E0F02">
        <w:tab/>
        <w:t>częstotliwość aktualizacji danych oraz metadanych, o których mowa w pkt 2, mając na względzie konieczność zagwarantowania ich aktualności</w:t>
      </w:r>
    </w:p>
    <w:p w14:paraId="5F887A8C" w14:textId="1217B62B" w:rsidR="00592248" w:rsidRPr="004E0F02" w:rsidRDefault="004C4AB4" w:rsidP="004C4AB4">
      <w:pPr>
        <w:pStyle w:val="CZWSPPKTczwsplnapunktw"/>
      </w:pPr>
      <w:r w:rsidRPr="004E0F02">
        <w:t xml:space="preserve">- </w:t>
      </w:r>
      <w:r w:rsidR="00D545D5" w:rsidRPr="004E0F02">
        <w:t xml:space="preserve">mając na względzie wykaz ustanowiony przez Komisję Europejską na podstawie art. 14 ust. 1 dyrektywy Parlamentu Europejskiego i Rady </w:t>
      </w:r>
      <w:r w:rsidR="00F51E92" w:rsidRPr="004E0F02">
        <w:t xml:space="preserve">(UE) </w:t>
      </w:r>
      <w:r w:rsidR="00D545D5" w:rsidRPr="004E0F02">
        <w:t>2019/1024</w:t>
      </w:r>
      <w:r w:rsidR="00592248" w:rsidRPr="004E0F02">
        <w:t xml:space="preserve"> z dnia 20 czerwca 2019 r. w </w:t>
      </w:r>
      <w:r w:rsidR="00D545D5" w:rsidRPr="004E0F02">
        <w:t>sprawie otwartych danych i ponownego wykorzystywania informacji sektora publicznego.</w:t>
      </w:r>
    </w:p>
    <w:p w14:paraId="2E23D691" w14:textId="62C531F7" w:rsidR="00D545D5" w:rsidRPr="004E0F02" w:rsidRDefault="00D545D5" w:rsidP="00D545D5">
      <w:pPr>
        <w:pStyle w:val="ARTartustawynprozporzdzenia"/>
      </w:pPr>
      <w:r w:rsidRPr="004E0F02">
        <w:rPr>
          <w:rStyle w:val="Ppogrubienie"/>
        </w:rPr>
        <w:t>Art. 2</w:t>
      </w:r>
      <w:r w:rsidR="00592248" w:rsidRPr="004E0F02">
        <w:rPr>
          <w:rStyle w:val="Ppogrubienie"/>
        </w:rPr>
        <w:t>8</w:t>
      </w:r>
      <w:r w:rsidRPr="004E0F02">
        <w:rPr>
          <w:rStyle w:val="Ppogrubienie"/>
        </w:rPr>
        <w:t>.</w:t>
      </w:r>
      <w:r w:rsidRPr="004E0F02">
        <w:t xml:space="preserve">  Minister </w:t>
      </w:r>
      <w:r w:rsidR="00110294" w:rsidRPr="004E0F02">
        <w:t>właściwy do spraw informatyzacji po zasięgnięciu opinii Prezesa Głównego Urzędu Statystycznego</w:t>
      </w:r>
      <w:r w:rsidRPr="004E0F02">
        <w:t xml:space="preserve"> określ</w:t>
      </w:r>
      <w:r w:rsidR="00110294" w:rsidRPr="004E0F02">
        <w:t>i</w:t>
      </w:r>
      <w:r w:rsidRPr="004E0F02">
        <w:t>, w drodze rozporządzenia:</w:t>
      </w:r>
    </w:p>
    <w:p w14:paraId="2FEB53A4" w14:textId="70BF6B23" w:rsidR="00D545D5" w:rsidRPr="004E0F02" w:rsidRDefault="00D545D5" w:rsidP="00D545D5">
      <w:pPr>
        <w:pStyle w:val="PKTpunkt"/>
      </w:pPr>
      <w:r w:rsidRPr="004E0F02">
        <w:t>1)</w:t>
      </w:r>
      <w:r w:rsidRPr="004E0F02">
        <w:tab/>
        <w:t xml:space="preserve">listę będących w posiadaniu </w:t>
      </w:r>
      <w:r w:rsidR="000F60D0" w:rsidRPr="004E0F02">
        <w:t>podmiotu zobowiązanego</w:t>
      </w:r>
      <w:r w:rsidRPr="004E0F02">
        <w:t xml:space="preserve"> danych o wysokiej wartości </w:t>
      </w:r>
      <w:r w:rsidR="000F60D0" w:rsidRPr="004E0F02">
        <w:t>z </w:t>
      </w:r>
      <w:r w:rsidRPr="004E0F02">
        <w:t xml:space="preserve">kategorii tematycznej: dane </w:t>
      </w:r>
      <w:r w:rsidR="00110294" w:rsidRPr="004E0F02">
        <w:t>statystyczne</w:t>
      </w:r>
      <w:r w:rsidR="004C4AB4" w:rsidRPr="004E0F02">
        <w:t>;</w:t>
      </w:r>
    </w:p>
    <w:p w14:paraId="71F481AF" w14:textId="6FC1A545" w:rsidR="00D545D5" w:rsidRPr="004E0F02" w:rsidRDefault="00D545D5" w:rsidP="00D545D5">
      <w:pPr>
        <w:pStyle w:val="PKTpunkt"/>
      </w:pPr>
      <w:r w:rsidRPr="004E0F02">
        <w:t>2)</w:t>
      </w:r>
      <w:r w:rsidRPr="004E0F02">
        <w:tab/>
        <w:t xml:space="preserve">harmonogram udostępniania przez </w:t>
      </w:r>
      <w:r w:rsidR="000F60D0" w:rsidRPr="004E0F02">
        <w:t>podmiot zobowiązany</w:t>
      </w:r>
      <w:r w:rsidRPr="004E0F02">
        <w:t xml:space="preserve"> na portalu danych:</w:t>
      </w:r>
    </w:p>
    <w:p w14:paraId="4C1FFEE0" w14:textId="77777777" w:rsidR="00D545D5" w:rsidRPr="004E0F02" w:rsidRDefault="00D545D5" w:rsidP="00D545D5">
      <w:pPr>
        <w:pStyle w:val="LITlitera"/>
      </w:pPr>
      <w:r w:rsidRPr="004E0F02">
        <w:t>a)</w:t>
      </w:r>
      <w:r w:rsidRPr="004E0F02">
        <w:tab/>
        <w:t>danych, o których mowa w pkt 1, oraz metadanych albo</w:t>
      </w:r>
    </w:p>
    <w:p w14:paraId="0281AB39" w14:textId="505E666E" w:rsidR="00D545D5" w:rsidRPr="004E0F02" w:rsidRDefault="00D545D5" w:rsidP="00D545D5">
      <w:pPr>
        <w:pStyle w:val="LITlitera"/>
      </w:pPr>
      <w:r w:rsidRPr="004E0F02">
        <w:t>b)</w:t>
      </w:r>
      <w:r w:rsidRPr="004E0F02">
        <w:tab/>
        <w:t>metadanych, w przypadku gdy dane, o których mowa w</w:t>
      </w:r>
      <w:r w:rsidR="00592248" w:rsidRPr="004E0F02">
        <w:t xml:space="preserve"> pkt 1, przechowywane są w </w:t>
      </w:r>
      <w:r w:rsidRPr="004E0F02">
        <w:t>publicznie dostępnym systemie teleinformat</w:t>
      </w:r>
      <w:r w:rsidR="00592248" w:rsidRPr="004E0F02">
        <w:t>ycznym podmiotu zobowiązanego i </w:t>
      </w:r>
      <w:r w:rsidRPr="004E0F02">
        <w:t>udostępniane w celu ich ponownego wykorzystywania w sposób, o którym mowa w art. 25 ust. 1</w:t>
      </w:r>
      <w:r w:rsidR="004C4AB4" w:rsidRPr="004E0F02">
        <w:t>;</w:t>
      </w:r>
    </w:p>
    <w:p w14:paraId="43926700" w14:textId="4465BCA7" w:rsidR="00D545D5" w:rsidRPr="004E0F02" w:rsidRDefault="00D545D5" w:rsidP="00D545D5">
      <w:pPr>
        <w:pStyle w:val="PKTpunkt"/>
      </w:pPr>
      <w:r w:rsidRPr="004E0F02">
        <w:t>3)</w:t>
      </w:r>
      <w:r w:rsidRPr="004E0F02">
        <w:tab/>
        <w:t xml:space="preserve">sposób udostępniania, o którym mowa w pkt 2, mając na względzie posiadaną przez </w:t>
      </w:r>
      <w:r w:rsidR="000F60D0" w:rsidRPr="004E0F02">
        <w:t>podmiot zobowiązany</w:t>
      </w:r>
      <w:r w:rsidR="00110294" w:rsidRPr="004E0F02">
        <w:t xml:space="preserve"> </w:t>
      </w:r>
      <w:r w:rsidRPr="004E0F02">
        <w:t>infrastrukturę teleinformatyc</w:t>
      </w:r>
      <w:r w:rsidR="000F60D0" w:rsidRPr="004E0F02">
        <w:t>zną umożliwiającą gromadzenie w </w:t>
      </w:r>
      <w:r w:rsidRPr="004E0F02">
        <w:t xml:space="preserve">niej danych o wysokiej wartości oraz ich udostępnianie </w:t>
      </w:r>
      <w:r w:rsidR="004C4AB4" w:rsidRPr="004E0F02">
        <w:t>w cel</w:t>
      </w:r>
      <w:r w:rsidR="00A03A7B" w:rsidRPr="004E0F02">
        <w:t>u</w:t>
      </w:r>
      <w:r w:rsidRPr="004E0F02">
        <w:t xml:space="preserve"> ponownego wykorzystywania, a także możliwości techniczne przechowywani</w:t>
      </w:r>
      <w:r w:rsidR="004C4AB4" w:rsidRPr="004E0F02">
        <w:t>a tych danych na portalu danych;</w:t>
      </w:r>
    </w:p>
    <w:p w14:paraId="628634CE" w14:textId="6668AA80" w:rsidR="00D545D5" w:rsidRPr="004E0F02" w:rsidRDefault="00D545D5" w:rsidP="00D545D5">
      <w:pPr>
        <w:pStyle w:val="PKTpunkt"/>
      </w:pPr>
      <w:r w:rsidRPr="004E0F02">
        <w:t>4)</w:t>
      </w:r>
      <w:r w:rsidRPr="004E0F02">
        <w:tab/>
        <w:t>format</w:t>
      </w:r>
      <w:r w:rsidR="004C4AB4" w:rsidRPr="004E0F02">
        <w:t xml:space="preserve"> danych, o których mowa w pkt 2;</w:t>
      </w:r>
    </w:p>
    <w:p w14:paraId="51A4B075" w14:textId="3DA45A5C" w:rsidR="00D545D5" w:rsidRPr="004E0F02" w:rsidRDefault="00D545D5" w:rsidP="00D545D5">
      <w:pPr>
        <w:pStyle w:val="PKTpunkt"/>
      </w:pPr>
      <w:r w:rsidRPr="004E0F02">
        <w:t>5)</w:t>
      </w:r>
      <w:r w:rsidRPr="004E0F02">
        <w:tab/>
        <w:t>możliwe warunki ponownego wykorzystywani</w:t>
      </w:r>
      <w:r w:rsidR="004C4AB4" w:rsidRPr="004E0F02">
        <w:t>a, o których mowa w rozdziale 3;</w:t>
      </w:r>
    </w:p>
    <w:p w14:paraId="36124861" w14:textId="77777777" w:rsidR="00D545D5" w:rsidRPr="004E0F02" w:rsidRDefault="00D545D5" w:rsidP="00D545D5">
      <w:pPr>
        <w:pStyle w:val="PKTpunkt"/>
      </w:pPr>
      <w:r w:rsidRPr="004E0F02">
        <w:lastRenderedPageBreak/>
        <w:t>6)</w:t>
      </w:r>
      <w:r w:rsidRPr="004E0F02">
        <w:tab/>
        <w:t>częstotliwość aktualizacji danych oraz metadanych, o których mowa w pkt 2, mając na względzie konieczność zagwarantowania ich aktualności</w:t>
      </w:r>
    </w:p>
    <w:p w14:paraId="57E27609" w14:textId="4A5BBE0C" w:rsidR="00D545D5" w:rsidRPr="004E0F02" w:rsidRDefault="004C4AB4" w:rsidP="004C4AB4">
      <w:pPr>
        <w:pStyle w:val="CZWSPPKTczwsplnapunktw"/>
      </w:pPr>
      <w:r w:rsidRPr="004E0F02">
        <w:t xml:space="preserve">- </w:t>
      </w:r>
      <w:r w:rsidR="00D545D5" w:rsidRPr="004E0F02">
        <w:t xml:space="preserve">mając na względzie wykaz ustanowiony przez Komisję Europejską na podstawie art. 14 ust. 1 dyrektywy Parlamentu Europejskiego i Rady </w:t>
      </w:r>
      <w:r w:rsidR="00F51E92" w:rsidRPr="004E0F02">
        <w:t xml:space="preserve">(UE) </w:t>
      </w:r>
      <w:r w:rsidR="00D545D5" w:rsidRPr="004E0F02">
        <w:t>2019/1024</w:t>
      </w:r>
      <w:r w:rsidR="00592248" w:rsidRPr="004E0F02">
        <w:t xml:space="preserve"> z dnia 20 czerwca 2019 r. w </w:t>
      </w:r>
      <w:r w:rsidR="00D545D5" w:rsidRPr="004E0F02">
        <w:t>sprawie otwartych danych i ponownego wykorzystywania informacji sektora publicznego.</w:t>
      </w:r>
    </w:p>
    <w:p w14:paraId="4C8EB68F" w14:textId="2CD34B70" w:rsidR="008B33E8" w:rsidRPr="004E0F02" w:rsidRDefault="008B33E8" w:rsidP="008B33E8">
      <w:pPr>
        <w:pStyle w:val="ARTartustawynprozporzdzenia"/>
      </w:pPr>
      <w:r w:rsidRPr="004E0F02">
        <w:rPr>
          <w:rStyle w:val="Ppogrubienie"/>
        </w:rPr>
        <w:t>Art. </w:t>
      </w:r>
      <w:r w:rsidR="00592248" w:rsidRPr="004E0F02">
        <w:rPr>
          <w:rStyle w:val="Ppogrubienie"/>
        </w:rPr>
        <w:t>29</w:t>
      </w:r>
      <w:r w:rsidRPr="004E0F02">
        <w:rPr>
          <w:rStyle w:val="Ppogrubienie"/>
        </w:rPr>
        <w:t>.</w:t>
      </w:r>
      <w:r w:rsidRPr="004E0F02">
        <w:t xml:space="preserve">  Minister Sprawiedliwości </w:t>
      </w:r>
      <w:r w:rsidR="006E0A3E" w:rsidRPr="004E0F02">
        <w:t>w </w:t>
      </w:r>
      <w:r w:rsidRPr="004E0F02">
        <w:t>porozumieniu z ministrem właściwym do spraw informatyzacji określ</w:t>
      </w:r>
      <w:r w:rsidR="00F51E92" w:rsidRPr="004E0F02">
        <w:t>i</w:t>
      </w:r>
      <w:r w:rsidRPr="004E0F02">
        <w:t>,</w:t>
      </w:r>
      <w:r w:rsidR="006E0A3E" w:rsidRPr="004E0F02">
        <w:t xml:space="preserve"> </w:t>
      </w:r>
      <w:r w:rsidR="00D545D5" w:rsidRPr="004E0F02">
        <w:t>w drodze rozporządzenia</w:t>
      </w:r>
      <w:r w:rsidRPr="004E0F02">
        <w:t>:</w:t>
      </w:r>
    </w:p>
    <w:p w14:paraId="7CC0AC84" w14:textId="3B460442" w:rsidR="008B33E8" w:rsidRPr="004E0F02" w:rsidRDefault="008B33E8" w:rsidP="008B33E8">
      <w:pPr>
        <w:pStyle w:val="PKTpunkt"/>
      </w:pPr>
      <w:r w:rsidRPr="004E0F02">
        <w:t>1)</w:t>
      </w:r>
      <w:r w:rsidRPr="004E0F02">
        <w:tab/>
        <w:t>list</w:t>
      </w:r>
      <w:r w:rsidR="00D545D5" w:rsidRPr="004E0F02">
        <w:t>ę</w:t>
      </w:r>
      <w:r w:rsidRPr="004E0F02">
        <w:t xml:space="preserve"> będących w posiadaniu </w:t>
      </w:r>
      <w:r w:rsidR="000F60D0" w:rsidRPr="004E0F02">
        <w:t>podmiotu zobowiązanego</w:t>
      </w:r>
      <w:r w:rsidR="00F51E92" w:rsidRPr="004E0F02">
        <w:t xml:space="preserve"> </w:t>
      </w:r>
      <w:r w:rsidRPr="004E0F02">
        <w:t xml:space="preserve">danych o wysokiej wartości </w:t>
      </w:r>
      <w:r w:rsidR="000F60D0" w:rsidRPr="004E0F02">
        <w:t>z </w:t>
      </w:r>
      <w:r w:rsidRPr="004E0F02">
        <w:t xml:space="preserve">kategorii tematycznej: dane dotyczące </w:t>
      </w:r>
      <w:r w:rsidR="004C4AB4" w:rsidRPr="004E0F02">
        <w:t>przedsiębiorstw i ich własności;</w:t>
      </w:r>
    </w:p>
    <w:p w14:paraId="562ECFF9" w14:textId="172933BE" w:rsidR="008B33E8" w:rsidRPr="004E0F02" w:rsidRDefault="008B33E8" w:rsidP="008B33E8">
      <w:pPr>
        <w:pStyle w:val="PKTpunkt"/>
      </w:pPr>
      <w:r w:rsidRPr="004E0F02">
        <w:t>2)</w:t>
      </w:r>
      <w:r w:rsidRPr="004E0F02">
        <w:tab/>
        <w:t xml:space="preserve">harmonogram udostępniania przez </w:t>
      </w:r>
      <w:r w:rsidR="000F60D0" w:rsidRPr="004E0F02">
        <w:t>podmiot zobowiązany</w:t>
      </w:r>
      <w:r w:rsidRPr="004E0F02">
        <w:t xml:space="preserve"> na portalu danych:</w:t>
      </w:r>
    </w:p>
    <w:p w14:paraId="5CED6F81" w14:textId="77777777" w:rsidR="008B33E8" w:rsidRPr="004E0F02" w:rsidRDefault="008B33E8" w:rsidP="008B33E8">
      <w:pPr>
        <w:pStyle w:val="LITlitera"/>
      </w:pPr>
      <w:r w:rsidRPr="004E0F02">
        <w:t>a)</w:t>
      </w:r>
      <w:r w:rsidRPr="004E0F02">
        <w:tab/>
        <w:t>danych, o których mowa w pkt 1, oraz metadanych albo</w:t>
      </w:r>
    </w:p>
    <w:p w14:paraId="1BDB7EDC" w14:textId="7816DB68" w:rsidR="008B33E8" w:rsidRPr="004E0F02" w:rsidRDefault="008B33E8" w:rsidP="008B33E8">
      <w:pPr>
        <w:pStyle w:val="LITlitera"/>
      </w:pPr>
      <w:r w:rsidRPr="004E0F02">
        <w:t>b)</w:t>
      </w:r>
      <w:r w:rsidRPr="004E0F02">
        <w:tab/>
        <w:t>metadanych, w przypadku gdy dane, o których m</w:t>
      </w:r>
      <w:r w:rsidR="00592248" w:rsidRPr="004E0F02">
        <w:t>owa w pkt 1, przechowywane są w </w:t>
      </w:r>
      <w:r w:rsidRPr="004E0F02">
        <w:t>publicznie dostępnym systemie teleinformatycznym podmiotu zobowiązanego i</w:t>
      </w:r>
      <w:r w:rsidR="00592248" w:rsidRPr="004E0F02">
        <w:t> </w:t>
      </w:r>
      <w:r w:rsidRPr="004E0F02">
        <w:t>udostępniane w celu ich ponownego wykorzystywania w sposób, o którym mowa w art. 25 ust. 1</w:t>
      </w:r>
      <w:r w:rsidR="004C4AB4" w:rsidRPr="004E0F02">
        <w:t>;</w:t>
      </w:r>
    </w:p>
    <w:p w14:paraId="4E9E6CFA" w14:textId="185F259A" w:rsidR="008B33E8" w:rsidRPr="004E0F02" w:rsidRDefault="008B33E8" w:rsidP="006E0A3E">
      <w:pPr>
        <w:pStyle w:val="PKTpunkt"/>
      </w:pPr>
      <w:r w:rsidRPr="004E0F02">
        <w:t>3)</w:t>
      </w:r>
      <w:r w:rsidRPr="004E0F02">
        <w:tab/>
        <w:t xml:space="preserve">sposób udostępniania, o którym mowa w pkt 2, mając na względzie posiadaną przez </w:t>
      </w:r>
      <w:r w:rsidR="000F60D0" w:rsidRPr="004E0F02">
        <w:t>podmiot zobowiązany</w:t>
      </w:r>
      <w:r w:rsidR="006E0A3E" w:rsidRPr="004E0F02">
        <w:t xml:space="preserve"> </w:t>
      </w:r>
      <w:r w:rsidRPr="004E0F02">
        <w:t>infrastrukturę teleinformatyczną umożliwiającą gromadzenie w</w:t>
      </w:r>
      <w:r w:rsidR="00DC2261" w:rsidRPr="004E0F02">
        <w:t> </w:t>
      </w:r>
      <w:r w:rsidRPr="004E0F02">
        <w:t xml:space="preserve">niej danych o wysokiej wartości oraz ich udostępnianie </w:t>
      </w:r>
      <w:r w:rsidR="00A03A7B" w:rsidRPr="004E0F02">
        <w:t>w celu</w:t>
      </w:r>
      <w:r w:rsidRPr="004E0F02">
        <w:t xml:space="preserve"> ponownego wykorzystywania, a także możliwości techniczne przechowywani</w:t>
      </w:r>
      <w:r w:rsidR="004C4AB4" w:rsidRPr="004E0F02">
        <w:t>a tych danych na portalu danych;</w:t>
      </w:r>
    </w:p>
    <w:p w14:paraId="2EC78F5C" w14:textId="2F7C24A7" w:rsidR="008B33E8" w:rsidRPr="004E0F02" w:rsidRDefault="008B33E8" w:rsidP="00D545D5">
      <w:pPr>
        <w:pStyle w:val="PKTpunkt"/>
      </w:pPr>
      <w:r w:rsidRPr="004E0F02">
        <w:t>4)</w:t>
      </w:r>
      <w:r w:rsidRPr="004E0F02">
        <w:tab/>
        <w:t>format</w:t>
      </w:r>
      <w:r w:rsidR="004C4AB4" w:rsidRPr="004E0F02">
        <w:t xml:space="preserve"> danych, o których mowa w pkt 2;</w:t>
      </w:r>
    </w:p>
    <w:p w14:paraId="38D37C69" w14:textId="5F96EEC5" w:rsidR="008B33E8" w:rsidRPr="004E0F02" w:rsidRDefault="008B33E8" w:rsidP="00D545D5">
      <w:pPr>
        <w:pStyle w:val="PKTpunkt"/>
      </w:pPr>
      <w:r w:rsidRPr="004E0F02">
        <w:t>5)</w:t>
      </w:r>
      <w:r w:rsidRPr="004E0F02">
        <w:tab/>
        <w:t>możliwe warunki ponownego wykorzystywani</w:t>
      </w:r>
      <w:r w:rsidR="004C4AB4" w:rsidRPr="004E0F02">
        <w:t>a, o których mowa w rozdziale 3;</w:t>
      </w:r>
    </w:p>
    <w:p w14:paraId="2458A6A2" w14:textId="77777777" w:rsidR="008B33E8" w:rsidRPr="004E0F02" w:rsidRDefault="008B33E8" w:rsidP="006E0A3E">
      <w:pPr>
        <w:pStyle w:val="PKTpunkt"/>
      </w:pPr>
      <w:r w:rsidRPr="004E0F02">
        <w:t>6)</w:t>
      </w:r>
      <w:r w:rsidRPr="004E0F02">
        <w:tab/>
        <w:t>częstotliwość aktualizacji danych oraz metadanych, o których mowa w pkt 2, mając na względzie konieczność zagwarantowania ich aktualności</w:t>
      </w:r>
    </w:p>
    <w:p w14:paraId="27C36414" w14:textId="556F334D" w:rsidR="008B33E8" w:rsidRPr="004E0F02" w:rsidRDefault="004C4AB4" w:rsidP="004C4AB4">
      <w:pPr>
        <w:pStyle w:val="CZWSPPKTczwsplnapunktw"/>
      </w:pPr>
      <w:r w:rsidRPr="004E0F02">
        <w:t xml:space="preserve">- </w:t>
      </w:r>
      <w:r w:rsidR="008B33E8" w:rsidRPr="004E0F02">
        <w:t xml:space="preserve">mając na względzie wykaz ustanowiony przez Komisję Europejską na podstawie art. 14 ust. 1 dyrektywy Parlamentu Europejskiego i Rady </w:t>
      </w:r>
      <w:r w:rsidR="00DC2261" w:rsidRPr="004E0F02">
        <w:t xml:space="preserve">(UE) </w:t>
      </w:r>
      <w:r w:rsidR="008B33E8" w:rsidRPr="004E0F02">
        <w:t>2019/1024</w:t>
      </w:r>
      <w:r w:rsidR="00592248" w:rsidRPr="004E0F02">
        <w:t xml:space="preserve"> z dnia 20 czerwca 2019 r. w </w:t>
      </w:r>
      <w:r w:rsidR="008B33E8" w:rsidRPr="004E0F02">
        <w:t>sprawie otwartych danych i ponownego wykorzystywania informacji sektora publicznego.</w:t>
      </w:r>
    </w:p>
    <w:p w14:paraId="3CD6853F" w14:textId="6C4CD4A9" w:rsidR="00D545D5" w:rsidRPr="004E0F02" w:rsidRDefault="00D545D5" w:rsidP="00D545D5">
      <w:pPr>
        <w:pStyle w:val="ARTartustawynprozporzdzenia"/>
      </w:pPr>
      <w:r w:rsidRPr="004E0F02">
        <w:rPr>
          <w:rStyle w:val="Ppogrubienie"/>
        </w:rPr>
        <w:t>Art. </w:t>
      </w:r>
      <w:r w:rsidR="00110294" w:rsidRPr="004E0F02">
        <w:rPr>
          <w:rStyle w:val="Ppogrubienie"/>
        </w:rPr>
        <w:t>3</w:t>
      </w:r>
      <w:r w:rsidR="00592248" w:rsidRPr="004E0F02">
        <w:rPr>
          <w:rStyle w:val="Ppogrubienie"/>
        </w:rPr>
        <w:t>0</w:t>
      </w:r>
      <w:r w:rsidRPr="004E0F02">
        <w:rPr>
          <w:rStyle w:val="Ppogrubienie"/>
        </w:rPr>
        <w:t>.</w:t>
      </w:r>
      <w:r w:rsidRPr="004E0F02">
        <w:t xml:space="preserve">  Minister właściwy do spraw </w:t>
      </w:r>
      <w:r w:rsidR="00110294" w:rsidRPr="004E0F02">
        <w:t>transportu</w:t>
      </w:r>
      <w:r w:rsidRPr="004E0F02">
        <w:t xml:space="preserve"> w porozumieniu z ministrem właściwym do spraw informatyzacji określ</w:t>
      </w:r>
      <w:r w:rsidR="00592248" w:rsidRPr="004E0F02">
        <w:t>i</w:t>
      </w:r>
      <w:r w:rsidRPr="004E0F02">
        <w:t>, w drodze rozporządzenia:</w:t>
      </w:r>
    </w:p>
    <w:p w14:paraId="0CC29057" w14:textId="6E6231F8" w:rsidR="00D545D5" w:rsidRPr="004E0F02" w:rsidRDefault="00D545D5" w:rsidP="00D545D5">
      <w:pPr>
        <w:pStyle w:val="PKTpunkt"/>
      </w:pPr>
      <w:r w:rsidRPr="004E0F02">
        <w:t>1)</w:t>
      </w:r>
      <w:r w:rsidRPr="004E0F02">
        <w:tab/>
        <w:t xml:space="preserve">listę będących w posiadaniu </w:t>
      </w:r>
      <w:r w:rsidR="000F60D0" w:rsidRPr="004E0F02">
        <w:t>podmiotu zobowiązanego</w:t>
      </w:r>
      <w:r w:rsidRPr="004E0F02">
        <w:t xml:space="preserve"> danych o wysokiej wartości </w:t>
      </w:r>
      <w:r w:rsidR="000F60D0" w:rsidRPr="004E0F02">
        <w:t>z </w:t>
      </w:r>
      <w:r w:rsidRPr="004E0F02">
        <w:t xml:space="preserve">kategorii tematycznej: dane </w:t>
      </w:r>
      <w:r w:rsidR="00110294" w:rsidRPr="004E0F02">
        <w:t>dotyczące mobilności</w:t>
      </w:r>
      <w:r w:rsidR="004C4AB4" w:rsidRPr="004E0F02">
        <w:t>;</w:t>
      </w:r>
    </w:p>
    <w:p w14:paraId="1F2813E7" w14:textId="585A6214" w:rsidR="00D545D5" w:rsidRPr="004E0F02" w:rsidRDefault="00D545D5" w:rsidP="00D545D5">
      <w:pPr>
        <w:pStyle w:val="PKTpunkt"/>
      </w:pPr>
      <w:r w:rsidRPr="004E0F02">
        <w:t>2)</w:t>
      </w:r>
      <w:r w:rsidRPr="004E0F02">
        <w:tab/>
        <w:t xml:space="preserve">harmonogram udostępniania przez </w:t>
      </w:r>
      <w:r w:rsidR="000F60D0" w:rsidRPr="004E0F02">
        <w:t xml:space="preserve">podmiot </w:t>
      </w:r>
      <w:r w:rsidR="00A01766" w:rsidRPr="004E0F02">
        <w:t>zobowiązany</w:t>
      </w:r>
      <w:r w:rsidRPr="004E0F02">
        <w:t xml:space="preserve"> na portalu  danych:</w:t>
      </w:r>
    </w:p>
    <w:p w14:paraId="5F904488" w14:textId="77777777" w:rsidR="00D545D5" w:rsidRPr="004E0F02" w:rsidRDefault="00D545D5" w:rsidP="00D545D5">
      <w:pPr>
        <w:pStyle w:val="LITlitera"/>
      </w:pPr>
      <w:r w:rsidRPr="004E0F02">
        <w:lastRenderedPageBreak/>
        <w:t>a)</w:t>
      </w:r>
      <w:r w:rsidRPr="004E0F02">
        <w:tab/>
        <w:t>danych, o których mowa w pkt 1, oraz metadanych albo</w:t>
      </w:r>
    </w:p>
    <w:p w14:paraId="3CA1F76A" w14:textId="3AC44634" w:rsidR="00D545D5" w:rsidRPr="004E0F02" w:rsidRDefault="00D545D5" w:rsidP="00D545D5">
      <w:pPr>
        <w:pStyle w:val="LITlitera"/>
      </w:pPr>
      <w:r w:rsidRPr="004E0F02">
        <w:t>b)</w:t>
      </w:r>
      <w:r w:rsidRPr="004E0F02">
        <w:tab/>
        <w:t>metadanych, w przypadku gdy dane, o których m</w:t>
      </w:r>
      <w:r w:rsidR="00592248" w:rsidRPr="004E0F02">
        <w:t>owa w pkt 1, przechowywane są w </w:t>
      </w:r>
      <w:r w:rsidRPr="004E0F02">
        <w:t>publicznie dostępnym systemie teleinformat</w:t>
      </w:r>
      <w:r w:rsidR="00592248" w:rsidRPr="004E0F02">
        <w:t>ycznym podmiotu zobowiązanego i </w:t>
      </w:r>
      <w:r w:rsidRPr="004E0F02">
        <w:t>udostępniane w celu ich ponownego wykorzystywania w sposób, o którym mowa w art. 25 ust. 1</w:t>
      </w:r>
      <w:r w:rsidR="004C4AB4" w:rsidRPr="004E0F02">
        <w:t>;</w:t>
      </w:r>
    </w:p>
    <w:p w14:paraId="2C9D6777" w14:textId="215DB95F" w:rsidR="00D545D5" w:rsidRPr="004E0F02" w:rsidRDefault="00D545D5" w:rsidP="00D545D5">
      <w:pPr>
        <w:pStyle w:val="PKTpunkt"/>
      </w:pPr>
      <w:r w:rsidRPr="004E0F02">
        <w:t>3)</w:t>
      </w:r>
      <w:r w:rsidRPr="004E0F02">
        <w:tab/>
        <w:t xml:space="preserve">sposób udostępniania, o którym mowa w pkt 2, mając na względzie posiadaną przez </w:t>
      </w:r>
      <w:r w:rsidR="000F60D0" w:rsidRPr="004E0F02">
        <w:t xml:space="preserve">podmiot zobowiązany </w:t>
      </w:r>
      <w:r w:rsidRPr="004E0F02">
        <w:t>infrastrukturę teleinformatyc</w:t>
      </w:r>
      <w:r w:rsidR="000F60D0" w:rsidRPr="004E0F02">
        <w:t>zną umożliwiającą gromadzenie w </w:t>
      </w:r>
      <w:r w:rsidRPr="004E0F02">
        <w:t xml:space="preserve">niej danych o wysokiej wartości oraz ich udostępnianie </w:t>
      </w:r>
      <w:r w:rsidR="00A03A7B" w:rsidRPr="004E0F02">
        <w:t>w celu</w:t>
      </w:r>
      <w:r w:rsidRPr="004E0F02">
        <w:t xml:space="preserve"> ponownego wykorzystywania, a także możliwości techniczne przechowywani</w:t>
      </w:r>
      <w:r w:rsidR="004C4AB4" w:rsidRPr="004E0F02">
        <w:t>a tych danych na portalu danych;</w:t>
      </w:r>
    </w:p>
    <w:p w14:paraId="2D96FE6C" w14:textId="626273AF" w:rsidR="00D545D5" w:rsidRPr="004E0F02" w:rsidRDefault="00D545D5" w:rsidP="00D545D5">
      <w:pPr>
        <w:pStyle w:val="PKTpunkt"/>
      </w:pPr>
      <w:r w:rsidRPr="004E0F02">
        <w:t>4)</w:t>
      </w:r>
      <w:r w:rsidRPr="004E0F02">
        <w:tab/>
        <w:t>format</w:t>
      </w:r>
      <w:r w:rsidR="004C4AB4" w:rsidRPr="004E0F02">
        <w:t xml:space="preserve"> danych, o których mowa w pkt 2;</w:t>
      </w:r>
    </w:p>
    <w:p w14:paraId="14AB45EF" w14:textId="0361C302" w:rsidR="00D545D5" w:rsidRPr="004E0F02" w:rsidRDefault="00D545D5" w:rsidP="00D545D5">
      <w:pPr>
        <w:pStyle w:val="PKTpunkt"/>
      </w:pPr>
      <w:r w:rsidRPr="004E0F02">
        <w:t>5)</w:t>
      </w:r>
      <w:r w:rsidRPr="004E0F02">
        <w:tab/>
        <w:t>możliwe warunki ponownego wykorzystywania, o których mowa w rozdz</w:t>
      </w:r>
      <w:r w:rsidR="004C4AB4" w:rsidRPr="004E0F02">
        <w:t>iale 3;</w:t>
      </w:r>
    </w:p>
    <w:p w14:paraId="09A6AD5B" w14:textId="77777777" w:rsidR="00D545D5" w:rsidRPr="004E0F02" w:rsidRDefault="00D545D5" w:rsidP="00D545D5">
      <w:pPr>
        <w:pStyle w:val="PKTpunkt"/>
      </w:pPr>
      <w:r w:rsidRPr="004E0F02">
        <w:t>6)</w:t>
      </w:r>
      <w:r w:rsidRPr="004E0F02">
        <w:tab/>
        <w:t>częstotliwość aktualizacji danych oraz metadanych, o których mowa w pkt 2, mając na względzie konieczność zagwarantowania ich aktualności</w:t>
      </w:r>
    </w:p>
    <w:p w14:paraId="5A553321" w14:textId="2D394691" w:rsidR="00D545D5" w:rsidRPr="004E0F02" w:rsidRDefault="004C4AB4" w:rsidP="004C4AB4">
      <w:pPr>
        <w:pStyle w:val="CZWSPPKTczwsplnapunktw"/>
      </w:pPr>
      <w:r w:rsidRPr="004E0F02">
        <w:t xml:space="preserve">- </w:t>
      </w:r>
      <w:r w:rsidR="00D545D5" w:rsidRPr="004E0F02">
        <w:t xml:space="preserve">mając na względzie wykaz ustanowiony przez Komisję Europejską na podstawie art. 14 ust. 1 dyrektywy Parlamentu Europejskiego i Rady </w:t>
      </w:r>
      <w:r w:rsidR="00DC2261" w:rsidRPr="004E0F02">
        <w:t xml:space="preserve">(UE) </w:t>
      </w:r>
      <w:r w:rsidR="00D545D5" w:rsidRPr="004E0F02">
        <w:t>2019/1024</w:t>
      </w:r>
      <w:r w:rsidR="009D2F21" w:rsidRPr="004E0F02">
        <w:t xml:space="preserve"> z dnia 20 czerwca 2019 r. w </w:t>
      </w:r>
      <w:r w:rsidR="00D545D5" w:rsidRPr="004E0F02">
        <w:t>sprawie otwartych danych i ponownego wykorzystywania informacji sektora publicznego.</w:t>
      </w:r>
    </w:p>
    <w:p w14:paraId="0653ECF8" w14:textId="77777777" w:rsidR="00D545D5" w:rsidRPr="004E0F02" w:rsidRDefault="00D545D5" w:rsidP="00592248">
      <w:pPr>
        <w:pStyle w:val="USTustnpkodeksu"/>
      </w:pPr>
    </w:p>
    <w:p w14:paraId="297A85C9" w14:textId="77777777" w:rsidR="00EF28B7" w:rsidRPr="004E0F02" w:rsidRDefault="00EF28B7" w:rsidP="00EF28B7">
      <w:pPr>
        <w:pStyle w:val="ROZDZODDZOZNoznaczenierozdziauluboddziau"/>
      </w:pPr>
      <w:r w:rsidRPr="004E0F02">
        <w:t>Rozdział 6</w:t>
      </w:r>
    </w:p>
    <w:p w14:paraId="181A8FD5" w14:textId="433830E5" w:rsidR="00EF28B7" w:rsidRPr="004E0F02" w:rsidRDefault="0064538B" w:rsidP="004C4AB4">
      <w:pPr>
        <w:pStyle w:val="TYTDZPRZEDMprzedmiotregulacjitytuulubdziau"/>
      </w:pPr>
      <w:r w:rsidRPr="004E0F02">
        <w:t xml:space="preserve">Program Otwierania Danych </w:t>
      </w:r>
    </w:p>
    <w:p w14:paraId="56B108C9" w14:textId="40E0A562" w:rsidR="00EF28B7" w:rsidRPr="004E0F02" w:rsidRDefault="00EF28B7" w:rsidP="00E45B1D">
      <w:pPr>
        <w:pStyle w:val="ARTartustawynprozporzdzenia"/>
        <w:keepNext/>
      </w:pPr>
      <w:r w:rsidRPr="004E0F02">
        <w:rPr>
          <w:rStyle w:val="Ppogrubienie"/>
        </w:rPr>
        <w:t>Art. </w:t>
      </w:r>
      <w:r w:rsidR="00225724" w:rsidRPr="004E0F02">
        <w:rPr>
          <w:rStyle w:val="Ppogrubienie"/>
        </w:rPr>
        <w:t>31</w:t>
      </w:r>
      <w:r w:rsidRPr="004E0F02">
        <w:rPr>
          <w:rStyle w:val="Ppogrubienie"/>
        </w:rPr>
        <w:t>.</w:t>
      </w:r>
      <w:r w:rsidRPr="004E0F02">
        <w:t> 1.</w:t>
      </w:r>
      <w:r w:rsidR="003F3502" w:rsidRPr="004E0F02">
        <w:t xml:space="preserve"> W </w:t>
      </w:r>
      <w:r w:rsidRPr="004E0F02">
        <w:t>celu zwiększenia ilości oraz poprawy jakości informacji sektora publicznego</w:t>
      </w:r>
      <w:r w:rsidR="003F3502" w:rsidRPr="004E0F02">
        <w:t xml:space="preserve"> i </w:t>
      </w:r>
      <w:r w:rsidRPr="004E0F02">
        <w:t>danych prywatnych oraz metadanych opisujących ich strukturę udostępnianych</w:t>
      </w:r>
      <w:r w:rsidR="004C4AB4" w:rsidRPr="004E0F02">
        <w:t xml:space="preserve"> </w:t>
      </w:r>
      <w:r w:rsidRPr="004E0F02">
        <w:t>na portalu danych, minister właściwy do spraw inf</w:t>
      </w:r>
      <w:r w:rsidR="004C4AB4" w:rsidRPr="004E0F02">
        <w:t>ormatyzacji opracowuje Program o</w:t>
      </w:r>
      <w:r w:rsidRPr="004E0F02">
        <w:t>twierania</w:t>
      </w:r>
      <w:r w:rsidR="00B02447" w:rsidRPr="004E0F02">
        <w:t xml:space="preserve"> </w:t>
      </w:r>
      <w:r w:rsidR="004C4AB4" w:rsidRPr="004E0F02">
        <w:t>d</w:t>
      </w:r>
      <w:r w:rsidRPr="004E0F02">
        <w:t xml:space="preserve">anych, zwany dalej </w:t>
      </w:r>
      <w:r w:rsidR="00E45B1D" w:rsidRPr="004E0F02">
        <w:t>„</w:t>
      </w:r>
      <w:r w:rsidRPr="004E0F02">
        <w:t>Programem</w:t>
      </w:r>
      <w:r w:rsidR="00E45B1D" w:rsidRPr="004E0F02">
        <w:t>”</w:t>
      </w:r>
      <w:r w:rsidR="009E3B54">
        <w:t>,</w:t>
      </w:r>
      <w:r w:rsidRPr="004E0F02">
        <w:t xml:space="preserve"> uwzględniając</w:t>
      </w:r>
      <w:r w:rsidR="003F3502" w:rsidRPr="004E0F02">
        <w:t xml:space="preserve"> w </w:t>
      </w:r>
      <w:r w:rsidRPr="004E0F02">
        <w:t>szczególności:</w:t>
      </w:r>
    </w:p>
    <w:p w14:paraId="60AAE979" w14:textId="77777777" w:rsidR="00EF28B7" w:rsidRPr="004E0F02" w:rsidRDefault="00EF28B7" w:rsidP="00EF28B7">
      <w:pPr>
        <w:pStyle w:val="PKTpunkt"/>
      </w:pPr>
      <w:r w:rsidRPr="004E0F02">
        <w:t>1)</w:t>
      </w:r>
      <w:r w:rsidRPr="004E0F02">
        <w:tab/>
        <w:t>aktualny stan udostępniania otwartych danych;</w:t>
      </w:r>
    </w:p>
    <w:p w14:paraId="17CBBAB9" w14:textId="77777777" w:rsidR="00EF28B7" w:rsidRPr="004E0F02" w:rsidRDefault="00EF28B7" w:rsidP="00EF28B7">
      <w:pPr>
        <w:pStyle w:val="PKTpunkt"/>
      </w:pPr>
      <w:r w:rsidRPr="004E0F02">
        <w:t>2)</w:t>
      </w:r>
      <w:r w:rsidRPr="004E0F02">
        <w:tab/>
        <w:t>obowiązujący stan prawny;</w:t>
      </w:r>
    </w:p>
    <w:p w14:paraId="7DC71708" w14:textId="77777777" w:rsidR="00EF28B7" w:rsidRPr="004E0F02" w:rsidRDefault="00EF28B7" w:rsidP="00EF28B7">
      <w:pPr>
        <w:pStyle w:val="PKTpunkt"/>
      </w:pPr>
      <w:r w:rsidRPr="004E0F02">
        <w:t>3)</w:t>
      </w:r>
      <w:r w:rsidRPr="004E0F02">
        <w:tab/>
        <w:t>kierunki rozwoju</w:t>
      </w:r>
      <w:r w:rsidR="003F3502" w:rsidRPr="004E0F02">
        <w:t xml:space="preserve"> w </w:t>
      </w:r>
      <w:r w:rsidRPr="004E0F02">
        <w:t>zakresie otwartości danych;</w:t>
      </w:r>
    </w:p>
    <w:p w14:paraId="59CB8737" w14:textId="77777777" w:rsidR="00EF28B7" w:rsidRPr="004E0F02" w:rsidRDefault="00EF28B7" w:rsidP="00EF28B7">
      <w:pPr>
        <w:pStyle w:val="PKTpunkt"/>
      </w:pPr>
      <w:r w:rsidRPr="004E0F02">
        <w:t>4)</w:t>
      </w:r>
      <w:r w:rsidRPr="004E0F02">
        <w:tab/>
        <w:t>wyniki przeglądu prowadzonej polityki otwartych danych;</w:t>
      </w:r>
    </w:p>
    <w:p w14:paraId="700F25D0" w14:textId="77777777" w:rsidR="00EF28B7" w:rsidRPr="004E0F02" w:rsidRDefault="00EF28B7" w:rsidP="00EF28B7">
      <w:pPr>
        <w:pStyle w:val="PKTpunkt"/>
      </w:pPr>
      <w:r w:rsidRPr="004E0F02">
        <w:t>5)</w:t>
      </w:r>
      <w:r w:rsidRPr="004E0F02">
        <w:tab/>
        <w:t>możliwości finansowania projektowanych rozwiązań;</w:t>
      </w:r>
    </w:p>
    <w:p w14:paraId="102A9ECB" w14:textId="77777777" w:rsidR="00EF28B7" w:rsidRPr="004E0F02" w:rsidRDefault="00EF28B7" w:rsidP="00EF28B7">
      <w:pPr>
        <w:pStyle w:val="PKTpunkt"/>
      </w:pPr>
      <w:r w:rsidRPr="004E0F02">
        <w:t>6)</w:t>
      </w:r>
      <w:r w:rsidRPr="004E0F02">
        <w:tab/>
        <w:t xml:space="preserve">potrzebę wsparcia nowoczesnych technologii </w:t>
      </w:r>
      <w:r w:rsidR="00B651D8" w:rsidRPr="004E0F02">
        <w:t>wykorzystujących</w:t>
      </w:r>
      <w:r w:rsidRPr="004E0F02">
        <w:t xml:space="preserve"> otwarte dane;</w:t>
      </w:r>
    </w:p>
    <w:p w14:paraId="4E1A7988" w14:textId="77777777" w:rsidR="00EF28B7" w:rsidRPr="004E0F02" w:rsidRDefault="00EF28B7" w:rsidP="00EF28B7">
      <w:pPr>
        <w:pStyle w:val="PKTpunkt"/>
      </w:pPr>
      <w:r w:rsidRPr="004E0F02">
        <w:t>7)</w:t>
      </w:r>
      <w:r w:rsidRPr="004E0F02">
        <w:tab/>
        <w:t>potrzebę współpracy</w:t>
      </w:r>
      <w:r w:rsidR="003F3502" w:rsidRPr="004E0F02">
        <w:t xml:space="preserve"> z </w:t>
      </w:r>
      <w:r w:rsidRPr="004E0F02">
        <w:t>interesariuszami otwartych danych.</w:t>
      </w:r>
    </w:p>
    <w:p w14:paraId="68B5418D" w14:textId="77777777" w:rsidR="00EF28B7" w:rsidRPr="004E0F02" w:rsidRDefault="00EF28B7" w:rsidP="00EF28B7">
      <w:pPr>
        <w:pStyle w:val="USTustnpkodeksu"/>
      </w:pPr>
      <w:r w:rsidRPr="004E0F02">
        <w:lastRenderedPageBreak/>
        <w:t>2. Program ustalany jest na okres siedmioletni,</w:t>
      </w:r>
      <w:r w:rsidR="003F3502" w:rsidRPr="004E0F02">
        <w:t xml:space="preserve"> z </w:t>
      </w:r>
      <w:r w:rsidRPr="004E0F02">
        <w:t>możliwością wprowadzenia zmian w okresie jego obowiązywania.</w:t>
      </w:r>
    </w:p>
    <w:p w14:paraId="0CA0B4B0" w14:textId="77777777" w:rsidR="00EF28B7" w:rsidRPr="004E0F02" w:rsidRDefault="00EF28B7" w:rsidP="00EF28B7">
      <w:pPr>
        <w:pStyle w:val="USTustnpkodeksu"/>
      </w:pPr>
      <w:r w:rsidRPr="004E0F02">
        <w:t>3. Rada Ministrów, na wniosek ministra właściwego do spraw informatyzacji, przyjmuje P</w:t>
      </w:r>
      <w:r w:rsidR="00CC53C5" w:rsidRPr="004E0F02">
        <w:t>r</w:t>
      </w:r>
      <w:r w:rsidRPr="004E0F02">
        <w:t>ogram</w:t>
      </w:r>
      <w:r w:rsidR="003F3502" w:rsidRPr="004E0F02">
        <w:t xml:space="preserve"> w </w:t>
      </w:r>
      <w:r w:rsidRPr="004E0F02">
        <w:t>drodze uchwały.</w:t>
      </w:r>
    </w:p>
    <w:p w14:paraId="18B7C704" w14:textId="77777777" w:rsidR="00FD6E9C" w:rsidRPr="004E0F02" w:rsidRDefault="00FD6E9C" w:rsidP="00FD6E9C">
      <w:pPr>
        <w:pStyle w:val="USTustnpkodeksu"/>
      </w:pPr>
      <w:r w:rsidRPr="004E0F02">
        <w:t>4. Program realizują członkowie Rady Ministrów oraz Prezes Głównego Urzędu Statystycznego, zwani dalej Realizatorami Programu.</w:t>
      </w:r>
    </w:p>
    <w:p w14:paraId="2131C3AC" w14:textId="61BA54DB" w:rsidR="00EF28B7" w:rsidRPr="004E0F02" w:rsidRDefault="00FD6E9C" w:rsidP="004C4AB4">
      <w:pPr>
        <w:pStyle w:val="USTustnpkodeksu"/>
      </w:pPr>
      <w:r w:rsidRPr="004E0F02">
        <w:t xml:space="preserve">5. Program może być realizowany przez inne niż wymienione w ust. 4 podmioty.    </w:t>
      </w:r>
    </w:p>
    <w:p w14:paraId="28D5A22D" w14:textId="279B961E" w:rsidR="00D24504" w:rsidRPr="004E0F02" w:rsidRDefault="00D24504" w:rsidP="00D24504">
      <w:pPr>
        <w:pStyle w:val="ARTartustawynprozporzdzenia"/>
      </w:pPr>
      <w:r w:rsidRPr="004E0F02">
        <w:rPr>
          <w:rStyle w:val="Ppogrubienie"/>
        </w:rPr>
        <w:t>Art. </w:t>
      </w:r>
      <w:r w:rsidR="00225724" w:rsidRPr="004E0F02">
        <w:rPr>
          <w:rStyle w:val="Ppogrubienie"/>
        </w:rPr>
        <w:t>32</w:t>
      </w:r>
      <w:r w:rsidRPr="004E0F02">
        <w:rPr>
          <w:rStyle w:val="Ppogrubienie"/>
        </w:rPr>
        <w:t>.</w:t>
      </w:r>
      <w:r w:rsidRPr="004E0F02">
        <w:t> 1. Koordynatorem działań w ramach realizacji Programu jest minister właściwy do spraw informatyzacji, zwany dalej „Koordynatorem Programu”.</w:t>
      </w:r>
    </w:p>
    <w:p w14:paraId="77B9AA4D" w14:textId="0D7E8D4C" w:rsidR="00D24504" w:rsidRPr="004E0F02" w:rsidRDefault="00D24504" w:rsidP="004B49C5">
      <w:pPr>
        <w:pStyle w:val="USTustnpkodeksu"/>
      </w:pPr>
      <w:r w:rsidRPr="004E0F02">
        <w:t>2. Obsługę merytoryczną, organizacyjno</w:t>
      </w:r>
      <w:r w:rsidRPr="004E0F02">
        <w:noBreakHyphen/>
        <w:t>prawną, techniczną i kancelaryjno</w:t>
      </w:r>
      <w:r w:rsidRPr="004E0F02">
        <w:noBreakHyphen/>
        <w:t>biurową Koordynatora Programu zapewnia urząd obsługujący ministra właściwego do spraw informatyzacji.</w:t>
      </w:r>
    </w:p>
    <w:p w14:paraId="357BA939" w14:textId="603412F5" w:rsidR="00FE2549" w:rsidRPr="004E0F02" w:rsidRDefault="00FE2549" w:rsidP="00FE2549">
      <w:pPr>
        <w:pStyle w:val="ARTartustawynprozporzdzenia"/>
      </w:pPr>
      <w:r w:rsidRPr="004E0F02">
        <w:rPr>
          <w:b/>
        </w:rPr>
        <w:t xml:space="preserve">Art. </w:t>
      </w:r>
      <w:r w:rsidR="004B49C5" w:rsidRPr="004E0F02">
        <w:rPr>
          <w:b/>
        </w:rPr>
        <w:t>3</w:t>
      </w:r>
      <w:r w:rsidR="00225724" w:rsidRPr="004E0F02">
        <w:rPr>
          <w:b/>
        </w:rPr>
        <w:t>3</w:t>
      </w:r>
      <w:r w:rsidRPr="004E0F02">
        <w:t>. Do zadań Realizator</w:t>
      </w:r>
      <w:r w:rsidR="0011479F" w:rsidRPr="004E0F02">
        <w:t>a</w:t>
      </w:r>
      <w:r w:rsidRPr="004E0F02">
        <w:t xml:space="preserve"> Programu należy w szczególności:</w:t>
      </w:r>
    </w:p>
    <w:p w14:paraId="66177264" w14:textId="423410B2" w:rsidR="00FE2549" w:rsidRPr="004E0F02" w:rsidRDefault="00FE2549" w:rsidP="00FE2549">
      <w:pPr>
        <w:pStyle w:val="PKTpunkt"/>
      </w:pPr>
      <w:r w:rsidRPr="004E0F02">
        <w:t>1)</w:t>
      </w:r>
      <w:r w:rsidRPr="004E0F02">
        <w:tab/>
        <w:t xml:space="preserve">zapewnienie należytego wdrażania Programu </w:t>
      </w:r>
      <w:r w:rsidR="000802A4" w:rsidRPr="004E0F02">
        <w:rPr>
          <w:rFonts w:cs="Times"/>
          <w:szCs w:val="24"/>
          <w:shd w:val="clear" w:color="auto" w:fill="FFFFFF"/>
        </w:rPr>
        <w:t xml:space="preserve">w zakresie swojego działania, w tym </w:t>
      </w:r>
      <w:r w:rsidR="004C4AB4" w:rsidRPr="004E0F02">
        <w:rPr>
          <w:rFonts w:cs="Times"/>
          <w:szCs w:val="24"/>
        </w:rPr>
        <w:t>w </w:t>
      </w:r>
      <w:r w:rsidR="000802A4" w:rsidRPr="004E0F02">
        <w:rPr>
          <w:rFonts w:cs="Times"/>
          <w:szCs w:val="24"/>
        </w:rPr>
        <w:t>organach i jednostkach organizacyjnych podległych lub nadzorowanych</w:t>
      </w:r>
      <w:r w:rsidR="009E3B54">
        <w:rPr>
          <w:rFonts w:cs="Times"/>
          <w:szCs w:val="24"/>
        </w:rPr>
        <w:t>;</w:t>
      </w:r>
    </w:p>
    <w:p w14:paraId="3505C80C" w14:textId="627153A7" w:rsidR="00FE2549" w:rsidRPr="004E0F02" w:rsidRDefault="00FE2549" w:rsidP="00FE2549">
      <w:pPr>
        <w:pStyle w:val="PKTpunkt"/>
      </w:pPr>
      <w:r w:rsidRPr="004E0F02">
        <w:t>2)</w:t>
      </w:r>
      <w:r w:rsidRPr="004E0F02">
        <w:tab/>
        <w:t>współpraca z Koordynatorem Programu w zakresie wdrażania Programu;</w:t>
      </w:r>
    </w:p>
    <w:p w14:paraId="39D83C71" w14:textId="7E79FD4F" w:rsidR="00FE2549" w:rsidRPr="004E0F02" w:rsidRDefault="00FE2549" w:rsidP="00FE2549">
      <w:pPr>
        <w:pStyle w:val="PKTpunkt"/>
      </w:pPr>
      <w:r w:rsidRPr="004E0F02">
        <w:t>3)</w:t>
      </w:r>
      <w:r w:rsidRPr="004E0F02">
        <w:tab/>
        <w:t>przedstawianie Koordynatorowi Programu harmonogramu udostępniania nowych informacji sektora publicznego na portalu danych oraz poprawy jakoś</w:t>
      </w:r>
      <w:r w:rsidR="009E3B54">
        <w:t>ci</w:t>
      </w:r>
      <w:r w:rsidRPr="004E0F02">
        <w:t xml:space="preserve"> informacji sektora publicznego udostępnianych na portalu </w:t>
      </w:r>
      <w:r w:rsidR="002D358F" w:rsidRPr="004E0F02">
        <w:t xml:space="preserve">danych </w:t>
      </w:r>
      <w:r w:rsidRPr="004E0F02">
        <w:t>w każdym półroczu,</w:t>
      </w:r>
      <w:r w:rsidR="00B57464" w:rsidRPr="004E0F02">
        <w:t xml:space="preserve"> w zakresie swojego działania, w tym</w:t>
      </w:r>
      <w:r w:rsidRPr="004E0F02">
        <w:t xml:space="preserve">, organów i jednostek organizacyjnych podległych lub nadzorowanych, do weryfikacji pod względem spełniania warunków, o których mowa w art. </w:t>
      </w:r>
      <w:r w:rsidR="003B78BF" w:rsidRPr="004E0F02">
        <w:t>35</w:t>
      </w:r>
      <w:r w:rsidRPr="004E0F02">
        <w:t xml:space="preserve"> ust. 1 i 4;</w:t>
      </w:r>
    </w:p>
    <w:p w14:paraId="0EAF0759" w14:textId="28F7CC6B" w:rsidR="00FE2549" w:rsidRPr="004E0F02" w:rsidRDefault="00FE2549" w:rsidP="00FE2549">
      <w:pPr>
        <w:pStyle w:val="PKTpunkt"/>
      </w:pPr>
      <w:r w:rsidRPr="004E0F02">
        <w:t>4)</w:t>
      </w:r>
      <w:r w:rsidRPr="004E0F02">
        <w:tab/>
        <w:t>składanie Koordynatorowi Programu rocznego spraw</w:t>
      </w:r>
      <w:r w:rsidR="00906EB2" w:rsidRPr="004E0F02">
        <w:t>ozdania z realizacji Programu w </w:t>
      </w:r>
      <w:r w:rsidRPr="004E0F02">
        <w:t>terminie do 31 stycznia roku następującego po roku, którego dotyczy sprawozdanie.</w:t>
      </w:r>
    </w:p>
    <w:p w14:paraId="437D9FCA" w14:textId="41E8490D" w:rsidR="00FE2549" w:rsidRPr="004E0F02" w:rsidRDefault="00FE2549" w:rsidP="00FE2549">
      <w:pPr>
        <w:pStyle w:val="ARTartustawynprozporzdzenia"/>
        <w:keepNext/>
      </w:pPr>
      <w:r w:rsidRPr="004E0F02">
        <w:rPr>
          <w:rStyle w:val="Ppogrubienie"/>
        </w:rPr>
        <w:t>Art. 3</w:t>
      </w:r>
      <w:r w:rsidR="00225724" w:rsidRPr="004E0F02">
        <w:rPr>
          <w:rStyle w:val="Ppogrubienie"/>
        </w:rPr>
        <w:t>4</w:t>
      </w:r>
      <w:r w:rsidRPr="004E0F02">
        <w:rPr>
          <w:rStyle w:val="Ppogrubienie"/>
        </w:rPr>
        <w:t>.</w:t>
      </w:r>
      <w:r w:rsidRPr="004E0F02">
        <w:t> </w:t>
      </w:r>
      <w:r w:rsidR="004B49C5" w:rsidRPr="004E0F02">
        <w:t>Do zadań Koordynatora Programu należy w szczególności</w:t>
      </w:r>
      <w:r w:rsidRPr="004E0F02">
        <w:t>:</w:t>
      </w:r>
    </w:p>
    <w:p w14:paraId="1B43AD20" w14:textId="4569DD24" w:rsidR="00FB4531" w:rsidRPr="004E0F02" w:rsidRDefault="002932D7" w:rsidP="002932D7">
      <w:pPr>
        <w:pStyle w:val="PKTpunkt"/>
      </w:pPr>
      <w:r w:rsidRPr="004E0F02">
        <w:t>1)</w:t>
      </w:r>
      <w:r w:rsidRPr="004E0F02">
        <w:tab/>
      </w:r>
      <w:r w:rsidR="00FB4531" w:rsidRPr="004E0F02">
        <w:t>przedstawi</w:t>
      </w:r>
      <w:r w:rsidRPr="004E0F02">
        <w:t>a</w:t>
      </w:r>
      <w:r w:rsidR="00FB4531" w:rsidRPr="004E0F02">
        <w:t>nie Radzie Ministrów informacj</w:t>
      </w:r>
      <w:r w:rsidRPr="004E0F02">
        <w:t>i</w:t>
      </w:r>
      <w:r w:rsidR="00FB4531" w:rsidRPr="004E0F02">
        <w:t xml:space="preserve"> z realizacji Programu w terminie do dnia 31 marca roku następującego po roku, za który sporządzana jest informacja</w:t>
      </w:r>
      <w:r w:rsidR="009E3B54">
        <w:t>,</w:t>
      </w:r>
      <w:r w:rsidR="00FB4531" w:rsidRPr="004E0F02">
        <w:t xml:space="preserve"> oraz </w:t>
      </w:r>
      <w:r w:rsidRPr="004E0F02">
        <w:t xml:space="preserve">przedstawienie </w:t>
      </w:r>
      <w:r w:rsidR="00FB4531" w:rsidRPr="004E0F02">
        <w:t>końcowego sprawozdania z realizacji Programu w ciągu 6 miesięcy od jego zakończenia;</w:t>
      </w:r>
    </w:p>
    <w:p w14:paraId="112ED588" w14:textId="095597BB" w:rsidR="00FB4531" w:rsidRPr="004E0F02" w:rsidRDefault="002932D7" w:rsidP="002932D7">
      <w:pPr>
        <w:pStyle w:val="PKTpunkt"/>
      </w:pPr>
      <w:r w:rsidRPr="004E0F02">
        <w:t>2)</w:t>
      </w:r>
      <w:r w:rsidRPr="004E0F02">
        <w:tab/>
      </w:r>
      <w:r w:rsidR="00FB4531" w:rsidRPr="004E0F02">
        <w:t>dokonywanie we współpracy z Realizatorami Programu przeglądu Programu co 2 lata</w:t>
      </w:r>
      <w:r w:rsidRPr="004E0F02">
        <w:t>;</w:t>
      </w:r>
    </w:p>
    <w:p w14:paraId="4567D51C" w14:textId="32D60DB7" w:rsidR="00FE2549" w:rsidRPr="004E0F02" w:rsidRDefault="002932D7" w:rsidP="00FE2549">
      <w:pPr>
        <w:pStyle w:val="PKTpunkt"/>
      </w:pPr>
      <w:r w:rsidRPr="004E0F02">
        <w:t>3</w:t>
      </w:r>
      <w:r w:rsidR="00FE2549" w:rsidRPr="004E0F02">
        <w:t>)</w:t>
      </w:r>
      <w:r w:rsidR="00FE2549" w:rsidRPr="004E0F02">
        <w:tab/>
        <w:t>promowanie jednolitej polityki otwartego dostępu do danych;</w:t>
      </w:r>
    </w:p>
    <w:p w14:paraId="3B676D03" w14:textId="33AA98C2" w:rsidR="00FE2549" w:rsidRPr="004E0F02" w:rsidRDefault="002932D7" w:rsidP="00FE2549">
      <w:pPr>
        <w:pStyle w:val="PKTpunkt"/>
      </w:pPr>
      <w:r w:rsidRPr="004E0F02">
        <w:t>4</w:t>
      </w:r>
      <w:r w:rsidR="00FE2549" w:rsidRPr="004E0F02">
        <w:t>)</w:t>
      </w:r>
      <w:r w:rsidR="00FE2549" w:rsidRPr="004E0F02">
        <w:tab/>
        <w:t>wskazywanie kierunków rozwoju w zakresie otwartości danych oraz inicjowanie działań innowacyjnych w zakresie wspierania polityki otwartego dostępu do danych;</w:t>
      </w:r>
    </w:p>
    <w:p w14:paraId="09CDDDC4" w14:textId="4815C694" w:rsidR="00FE2549" w:rsidRPr="004E0F02" w:rsidRDefault="002932D7" w:rsidP="00FE2549">
      <w:pPr>
        <w:pStyle w:val="PKTpunkt"/>
      </w:pPr>
      <w:r w:rsidRPr="004E0F02">
        <w:lastRenderedPageBreak/>
        <w:t>5</w:t>
      </w:r>
      <w:r w:rsidR="00FE2549" w:rsidRPr="004E0F02">
        <w:t>)</w:t>
      </w:r>
      <w:r w:rsidR="00FE2549" w:rsidRPr="004E0F02">
        <w:tab/>
        <w:t>harmonizacja procesów wynikających z wdrażania Programu;</w:t>
      </w:r>
    </w:p>
    <w:p w14:paraId="39C15B3B" w14:textId="7BB2C54B" w:rsidR="00FE2549" w:rsidRPr="004E0F02" w:rsidRDefault="002932D7" w:rsidP="00FE2549">
      <w:pPr>
        <w:pStyle w:val="PKTpunkt"/>
      </w:pPr>
      <w:r w:rsidRPr="004E0F02">
        <w:t>6</w:t>
      </w:r>
      <w:r w:rsidR="00FE2549" w:rsidRPr="004E0F02">
        <w:t>)</w:t>
      </w:r>
      <w:r w:rsidR="00FE2549" w:rsidRPr="004E0F02">
        <w:tab/>
        <w:t>współpraca z </w:t>
      </w:r>
      <w:r w:rsidR="000802A4" w:rsidRPr="004E0F02">
        <w:t>Realizatorami Programu</w:t>
      </w:r>
      <w:r w:rsidR="00FE2549" w:rsidRPr="004E0F02">
        <w:t>, w zakresie wdrażania Programu;</w:t>
      </w:r>
    </w:p>
    <w:p w14:paraId="49D5B4A9" w14:textId="1447C875" w:rsidR="00FE2549" w:rsidRPr="004E0F02" w:rsidRDefault="002932D7" w:rsidP="00FE2549">
      <w:pPr>
        <w:pStyle w:val="PKTpunkt"/>
      </w:pPr>
      <w:r w:rsidRPr="004E0F02">
        <w:t>7</w:t>
      </w:r>
      <w:r w:rsidR="00FE2549" w:rsidRPr="004E0F02">
        <w:t>)</w:t>
      </w:r>
      <w:r w:rsidR="00FE2549" w:rsidRPr="004E0F02">
        <w:tab/>
        <w:t xml:space="preserve">wsparcie </w:t>
      </w:r>
      <w:r w:rsidR="000802A4" w:rsidRPr="004E0F02">
        <w:t>Realizatorów Programu</w:t>
      </w:r>
      <w:r w:rsidR="00FE2549" w:rsidRPr="004E0F02">
        <w:t xml:space="preserve"> i podmiotów, o których mowa w art. </w:t>
      </w:r>
      <w:r w:rsidR="005B2CD0" w:rsidRPr="004E0F02">
        <w:t>35</w:t>
      </w:r>
      <w:r w:rsidR="00FE2549" w:rsidRPr="004E0F02">
        <w:t xml:space="preserve"> ust. 2, w udostępnianiu informacji sektora publicznego i metadanych;</w:t>
      </w:r>
    </w:p>
    <w:p w14:paraId="26808326" w14:textId="00D34BEA" w:rsidR="00FE2549" w:rsidRPr="004E0F02" w:rsidRDefault="002932D7" w:rsidP="00FE2549">
      <w:pPr>
        <w:pStyle w:val="PKTpunkt"/>
      </w:pPr>
      <w:r w:rsidRPr="004E0F02">
        <w:t>8</w:t>
      </w:r>
      <w:r w:rsidR="00FE2549" w:rsidRPr="004E0F02">
        <w:t>)</w:t>
      </w:r>
      <w:r w:rsidR="00FE2549" w:rsidRPr="004E0F02">
        <w:tab/>
        <w:t>zaplanowanie i skoordynowanie działań edukacyjnych, podnoszących kompetencje cyfrowe administracji w zakresie otwartości danych;</w:t>
      </w:r>
    </w:p>
    <w:p w14:paraId="2B3414C9" w14:textId="2DED25AB" w:rsidR="00FE2549" w:rsidRPr="004E0F02" w:rsidRDefault="002932D7" w:rsidP="00FE2549">
      <w:pPr>
        <w:pStyle w:val="PKTpunkt"/>
      </w:pPr>
      <w:r w:rsidRPr="004E0F02">
        <w:t>9</w:t>
      </w:r>
      <w:r w:rsidR="00FE2549" w:rsidRPr="004E0F02">
        <w:t>)</w:t>
      </w:r>
      <w:r w:rsidR="00FE2549" w:rsidRPr="004E0F02">
        <w:tab/>
        <w:t>monitorowanie postępów w realizacji Programu;</w:t>
      </w:r>
    </w:p>
    <w:p w14:paraId="080E1D8B" w14:textId="68A83EF3" w:rsidR="00FE2549" w:rsidRPr="004E0F02" w:rsidRDefault="002932D7" w:rsidP="00FE2549">
      <w:pPr>
        <w:pStyle w:val="PKTpunkt"/>
      </w:pPr>
      <w:r w:rsidRPr="004E0F02">
        <w:t>10</w:t>
      </w:r>
      <w:r w:rsidR="00FE2549" w:rsidRPr="004E0F02">
        <w:t>)</w:t>
      </w:r>
      <w:r w:rsidR="00FE2549" w:rsidRPr="004E0F02">
        <w:tab/>
        <w:t>współpraca z podmiotami zobowiązanymi, organizacjami pozarządowym oraz innymi podmiotami uczestniczącymi w działaniach w zakresie polityki otwierania danych.</w:t>
      </w:r>
    </w:p>
    <w:p w14:paraId="1CFE31DC" w14:textId="77777777" w:rsidR="00FD6E9C" w:rsidRPr="004E0F02" w:rsidRDefault="00FD6E9C" w:rsidP="00FD6E9C">
      <w:pPr>
        <w:pStyle w:val="USTustnpkodeksu"/>
        <w:ind w:firstLine="0"/>
      </w:pPr>
    </w:p>
    <w:p w14:paraId="0D2C615F" w14:textId="77777777" w:rsidR="00EF28B7" w:rsidRPr="004E0F02" w:rsidRDefault="00EF28B7" w:rsidP="00EF28B7">
      <w:pPr>
        <w:pStyle w:val="ROZDZODDZOZNoznaczenierozdziauluboddziau"/>
      </w:pPr>
      <w:r w:rsidRPr="004E0F02">
        <w:t>Rozdział 7</w:t>
      </w:r>
    </w:p>
    <w:p w14:paraId="7AA042B7" w14:textId="20E1EDDF" w:rsidR="00EF28B7" w:rsidRPr="004E0F02" w:rsidRDefault="00EF28B7" w:rsidP="00E45B1D">
      <w:pPr>
        <w:pStyle w:val="ROZDZODDZPRZEDMprzedmiotregulacjirozdziauluboddziau"/>
      </w:pPr>
      <w:r w:rsidRPr="004E0F02">
        <w:t>Portal danych</w:t>
      </w:r>
    </w:p>
    <w:p w14:paraId="712C5213" w14:textId="698B93B2" w:rsidR="00EF28B7" w:rsidRPr="004E0F02" w:rsidRDefault="00EF28B7" w:rsidP="00EF28B7">
      <w:pPr>
        <w:pStyle w:val="ARTartustawynprozporzdzenia"/>
      </w:pPr>
      <w:r w:rsidRPr="004E0F02">
        <w:rPr>
          <w:rStyle w:val="Ppogrubienie"/>
        </w:rPr>
        <w:t>Art. </w:t>
      </w:r>
      <w:r w:rsidR="00225724" w:rsidRPr="004E0F02">
        <w:rPr>
          <w:rStyle w:val="Ppogrubienie"/>
        </w:rPr>
        <w:t>35</w:t>
      </w:r>
      <w:r w:rsidRPr="004E0F02">
        <w:rPr>
          <w:rStyle w:val="Ppogrubienie"/>
        </w:rPr>
        <w:t>.</w:t>
      </w:r>
      <w:r w:rsidRPr="004E0F02">
        <w:t> 1. Informacje sektora publicznego</w:t>
      </w:r>
      <w:r w:rsidR="003F3502" w:rsidRPr="004E0F02">
        <w:t xml:space="preserve"> o </w:t>
      </w:r>
      <w:r w:rsidRPr="004E0F02">
        <w:t>szczególnym znaczeniu dla rozwoju innowacyjności</w:t>
      </w:r>
      <w:r w:rsidR="003F3502" w:rsidRPr="004E0F02">
        <w:t xml:space="preserve"> w </w:t>
      </w:r>
      <w:r w:rsidRPr="004E0F02">
        <w:t>państwie</w:t>
      </w:r>
      <w:r w:rsidR="00E45B1D" w:rsidRPr="004E0F02">
        <w:t xml:space="preserve"> i </w:t>
      </w:r>
      <w:r w:rsidRPr="004E0F02">
        <w:t>rozwoju społeczeństwa informacyjnego, które ze względu na sposób przechowywania</w:t>
      </w:r>
      <w:r w:rsidR="00E45B1D" w:rsidRPr="004E0F02">
        <w:t xml:space="preserve"> i </w:t>
      </w:r>
      <w:r w:rsidRPr="004E0F02">
        <w:t>udostępniania pozwalają na ich ponowne wykorzystywanie w rozumieniu niniejszej ustawy</w:t>
      </w:r>
      <w:r w:rsidR="009E3B54">
        <w:t>,</w:t>
      </w:r>
      <w:r w:rsidRPr="004E0F02">
        <w:t xml:space="preserve"> są udostępniane na portalu danych.</w:t>
      </w:r>
    </w:p>
    <w:p w14:paraId="4C559CCF" w14:textId="26D19B04" w:rsidR="00EF28B7" w:rsidRPr="004E0F02" w:rsidRDefault="00EF28B7" w:rsidP="00EF28B7">
      <w:pPr>
        <w:pStyle w:val="USTustnpkodeksu"/>
      </w:pPr>
      <w:r w:rsidRPr="004E0F02">
        <w:t>2. Do udostępni</w:t>
      </w:r>
      <w:r w:rsidR="00252753" w:rsidRPr="004E0F02">
        <w:t>a</w:t>
      </w:r>
      <w:r w:rsidR="002C294D" w:rsidRPr="004E0F02">
        <w:t>nia na portalu danych</w:t>
      </w:r>
      <w:r w:rsidRPr="004E0F02">
        <w:t xml:space="preserve"> posiadanych informacji sektora publicznego</w:t>
      </w:r>
      <w:r w:rsidR="00906EB2" w:rsidRPr="004E0F02">
        <w:t>, o </w:t>
      </w:r>
      <w:r w:rsidR="003D3C34" w:rsidRPr="004E0F02">
        <w:t>których mowa w ust. 1,</w:t>
      </w:r>
      <w:r w:rsidRPr="004E0F02">
        <w:t xml:space="preserve"> oraz metadanych opisujących ich strukturę są obowiązane podmioty zobowiązane</w:t>
      </w:r>
      <w:r w:rsidR="00545B70" w:rsidRPr="004E0F02">
        <w:t>,</w:t>
      </w:r>
      <w:r w:rsidR="00E45B1D" w:rsidRPr="004E0F02">
        <w:t xml:space="preserve"> z </w:t>
      </w:r>
      <w:r w:rsidR="00545B70" w:rsidRPr="004E0F02">
        <w:t>wyjątkiem podmiotów,</w:t>
      </w:r>
      <w:r w:rsidR="00E45B1D" w:rsidRPr="004E0F02">
        <w:t xml:space="preserve"> o </w:t>
      </w:r>
      <w:r w:rsidR="00545B70" w:rsidRPr="004E0F02">
        <w:t>których mowa</w:t>
      </w:r>
      <w:r w:rsidR="00E45B1D" w:rsidRPr="004E0F02">
        <w:t xml:space="preserve"> w art. 3 pkt </w:t>
      </w:r>
      <w:r w:rsidR="00545B70" w:rsidRPr="004E0F02">
        <w:t>5.</w:t>
      </w:r>
    </w:p>
    <w:p w14:paraId="0B6D9F6C" w14:textId="4532F2BF" w:rsidR="00EF28B7" w:rsidRPr="004E0F02" w:rsidRDefault="00EF28B7" w:rsidP="00E45B1D">
      <w:pPr>
        <w:pStyle w:val="USTustnpkodeksu"/>
        <w:keepNext/>
      </w:pPr>
      <w:r w:rsidRPr="004E0F02">
        <w:t>3. Obowiązek,</w:t>
      </w:r>
      <w:r w:rsidR="003F3502" w:rsidRPr="004E0F02">
        <w:t xml:space="preserve"> o </w:t>
      </w:r>
      <w:r w:rsidRPr="004E0F02">
        <w:t>którym mowa</w:t>
      </w:r>
      <w:r w:rsidR="00E45B1D" w:rsidRPr="004E0F02">
        <w:t xml:space="preserve"> w ust. </w:t>
      </w:r>
      <w:r w:rsidRPr="004E0F02">
        <w:t>2, może zostać spełniony poprzez udostępni</w:t>
      </w:r>
      <w:r w:rsidR="00252753" w:rsidRPr="004E0F02">
        <w:t>a</w:t>
      </w:r>
      <w:r w:rsidRPr="004E0F02">
        <w:t>nie na portalu danych:</w:t>
      </w:r>
    </w:p>
    <w:p w14:paraId="0789AD22" w14:textId="4C25B365" w:rsidR="00EF28B7" w:rsidRPr="004E0F02" w:rsidRDefault="00EF28B7" w:rsidP="00D704B6">
      <w:pPr>
        <w:pStyle w:val="PKTpunkt"/>
      </w:pPr>
      <w:r w:rsidRPr="004E0F02">
        <w:t>1)</w:t>
      </w:r>
      <w:r w:rsidR="00D704B6" w:rsidRPr="004E0F02">
        <w:tab/>
      </w:r>
      <w:r w:rsidRPr="004E0F02">
        <w:t>informacji sektora publicznego oraz metadanych</w:t>
      </w:r>
      <w:r w:rsidR="009E3E56" w:rsidRPr="004E0F02">
        <w:t xml:space="preserve"> opisujących ich strukturę</w:t>
      </w:r>
      <w:r w:rsidR="00906EB2" w:rsidRPr="004E0F02">
        <w:t>;</w:t>
      </w:r>
      <w:r w:rsidR="003F3502" w:rsidRPr="004E0F02">
        <w:t xml:space="preserve"> </w:t>
      </w:r>
    </w:p>
    <w:p w14:paraId="47C39BFC" w14:textId="32B30A51" w:rsidR="00EF28B7" w:rsidRPr="004E0F02" w:rsidRDefault="00EF28B7" w:rsidP="00D704B6">
      <w:pPr>
        <w:pStyle w:val="PKTpunkt"/>
      </w:pPr>
      <w:r w:rsidRPr="004E0F02">
        <w:t>2)</w:t>
      </w:r>
      <w:r w:rsidR="00D704B6" w:rsidRPr="004E0F02">
        <w:tab/>
      </w:r>
      <w:r w:rsidRPr="004E0F02">
        <w:t>metadanych,</w:t>
      </w:r>
      <w:r w:rsidR="003F3502" w:rsidRPr="004E0F02">
        <w:t xml:space="preserve"> o </w:t>
      </w:r>
      <w:r w:rsidRPr="004E0F02">
        <w:t>których mowa</w:t>
      </w:r>
      <w:r w:rsidR="00E45B1D" w:rsidRPr="004E0F02">
        <w:t xml:space="preserve"> w</w:t>
      </w:r>
      <w:r w:rsidR="009E3E56" w:rsidRPr="004E0F02">
        <w:t xml:space="preserve"> pkt 1, </w:t>
      </w:r>
      <w:r w:rsidR="003F3502" w:rsidRPr="004E0F02">
        <w:t xml:space="preserve"> w </w:t>
      </w:r>
      <w:r w:rsidRPr="004E0F02">
        <w:t xml:space="preserve">przypadku gdy informacja sektora publicznego jest przez podmiot </w:t>
      </w:r>
      <w:r w:rsidR="00E90A88" w:rsidRPr="004E0F02">
        <w:t xml:space="preserve">zobowiązany </w:t>
      </w:r>
      <w:r w:rsidRPr="004E0F02">
        <w:t>udostępniana</w:t>
      </w:r>
      <w:r w:rsidR="003F3502" w:rsidRPr="004E0F02">
        <w:t xml:space="preserve"> w </w:t>
      </w:r>
      <w:r w:rsidR="009E4C34" w:rsidRPr="004E0F02">
        <w:t>powszechnie dostępnym systemie teleinformatycznym innym niż portal danych</w:t>
      </w:r>
      <w:r w:rsidRPr="004E0F02">
        <w:t>,</w:t>
      </w:r>
      <w:r w:rsidR="003F3502" w:rsidRPr="004E0F02">
        <w:t xml:space="preserve"> w </w:t>
      </w:r>
      <w:r w:rsidRPr="004E0F02">
        <w:t>szczególności umożliwiającym zastosowanie API.</w:t>
      </w:r>
    </w:p>
    <w:p w14:paraId="3643F9F3" w14:textId="2C9EA405" w:rsidR="00EF28B7" w:rsidRPr="004E0F02" w:rsidRDefault="00EF28B7" w:rsidP="00E45B1D">
      <w:pPr>
        <w:pStyle w:val="USTustnpkodeksu"/>
        <w:keepNext/>
      </w:pPr>
      <w:r w:rsidRPr="004E0F02">
        <w:t>4. Podmioty,</w:t>
      </w:r>
      <w:r w:rsidR="00253761" w:rsidRPr="004E0F02">
        <w:t xml:space="preserve"> o </w:t>
      </w:r>
      <w:r w:rsidR="00486A72" w:rsidRPr="004E0F02">
        <w:t>których mowa</w:t>
      </w:r>
      <w:r w:rsidR="00E45B1D" w:rsidRPr="004E0F02">
        <w:t xml:space="preserve"> w ust. </w:t>
      </w:r>
      <w:r w:rsidRPr="004E0F02">
        <w:t>2, są obowiązane do dostosowania:</w:t>
      </w:r>
    </w:p>
    <w:p w14:paraId="68D8AC3A" w14:textId="6E3DD6DE" w:rsidR="00EF28B7" w:rsidRPr="004E0F02" w:rsidRDefault="00EF28B7" w:rsidP="00D704B6">
      <w:pPr>
        <w:pStyle w:val="PKTpunkt"/>
      </w:pPr>
      <w:r w:rsidRPr="004E0F02">
        <w:t>1)</w:t>
      </w:r>
      <w:r w:rsidR="00D704B6" w:rsidRPr="004E0F02">
        <w:tab/>
      </w:r>
      <w:r w:rsidRPr="004E0F02">
        <w:t>formatów danych oraz protokołów komunikacyjnych</w:t>
      </w:r>
      <w:r w:rsidR="00E45B1D" w:rsidRPr="004E0F02">
        <w:t xml:space="preserve"> i </w:t>
      </w:r>
      <w:r w:rsidRPr="004E0F02">
        <w:t xml:space="preserve">szyfrujących, </w:t>
      </w:r>
      <w:r w:rsidR="006C1918" w:rsidRPr="004E0F02">
        <w:rPr>
          <w:rFonts w:ascii="Times New Roman" w:hAnsi="Times New Roman" w:cs="Times New Roman"/>
          <w:szCs w:val="24"/>
          <w:shd w:val="clear" w:color="auto" w:fill="FFFFFF"/>
        </w:rPr>
        <w:t>umożliwiających odczyt maszynowy</w:t>
      </w:r>
      <w:r w:rsidR="009E3B54">
        <w:rPr>
          <w:rFonts w:ascii="Times New Roman" w:hAnsi="Times New Roman" w:cs="Times New Roman"/>
          <w:szCs w:val="24"/>
          <w:shd w:val="clear" w:color="auto" w:fill="FFFFFF"/>
        </w:rPr>
        <w:t>,</w:t>
      </w:r>
      <w:r w:rsidR="006C1918" w:rsidRPr="004E0F02">
        <w:rPr>
          <w:rFonts w:ascii="Arial" w:hAnsi="Arial"/>
          <w:sz w:val="21"/>
          <w:szCs w:val="21"/>
          <w:shd w:val="clear" w:color="auto" w:fill="FFFFFF"/>
        </w:rPr>
        <w:t xml:space="preserve"> </w:t>
      </w:r>
      <w:r w:rsidRPr="004E0F02">
        <w:t>do zasad określonych</w:t>
      </w:r>
      <w:r w:rsidR="003F3502" w:rsidRPr="004E0F02">
        <w:t xml:space="preserve"> w </w:t>
      </w:r>
      <w:r w:rsidRPr="004E0F02">
        <w:t>przepisach wydanych na podstawie</w:t>
      </w:r>
      <w:r w:rsidR="00E45B1D" w:rsidRPr="004E0F02">
        <w:t xml:space="preserve"> art. </w:t>
      </w:r>
      <w:r w:rsidRPr="004E0F02">
        <w:t>1</w:t>
      </w:r>
      <w:r w:rsidR="003F3502" w:rsidRPr="004E0F02">
        <w:t>8 </w:t>
      </w:r>
      <w:r w:rsidRPr="004E0F02">
        <w:t>ustawy</w:t>
      </w:r>
      <w:r w:rsidR="003F3502" w:rsidRPr="004E0F02">
        <w:t xml:space="preserve"> z </w:t>
      </w:r>
      <w:r w:rsidRPr="004E0F02">
        <w:t>dnia 1</w:t>
      </w:r>
      <w:r w:rsidR="003F3502" w:rsidRPr="004E0F02">
        <w:t>7 </w:t>
      </w:r>
      <w:r w:rsidRPr="004E0F02">
        <w:t>lutego 200</w:t>
      </w:r>
      <w:r w:rsidR="003F3502" w:rsidRPr="004E0F02">
        <w:t>5 </w:t>
      </w:r>
      <w:r w:rsidRPr="004E0F02">
        <w:t>r.</w:t>
      </w:r>
      <w:r w:rsidR="003F3502" w:rsidRPr="004E0F02">
        <w:t xml:space="preserve"> o </w:t>
      </w:r>
      <w:r w:rsidRPr="004E0F02">
        <w:t>informatyzacji działalności podmiotów realizujących zadania publiczne;</w:t>
      </w:r>
    </w:p>
    <w:p w14:paraId="5B541BD0" w14:textId="5F91F49A" w:rsidR="00EF28B7" w:rsidRPr="004E0F02" w:rsidRDefault="00EF28B7" w:rsidP="00D704B6">
      <w:pPr>
        <w:pStyle w:val="PKTpunkt"/>
      </w:pPr>
      <w:r w:rsidRPr="004E0F02">
        <w:lastRenderedPageBreak/>
        <w:t>2)</w:t>
      </w:r>
      <w:r w:rsidR="00D704B6" w:rsidRPr="004E0F02">
        <w:tab/>
      </w:r>
      <w:r w:rsidRPr="004E0F02">
        <w:t>metadanych,</w:t>
      </w:r>
      <w:r w:rsidR="003F3502" w:rsidRPr="004E0F02">
        <w:t xml:space="preserve"> o </w:t>
      </w:r>
      <w:r w:rsidRPr="004E0F02">
        <w:t>których mowa</w:t>
      </w:r>
      <w:r w:rsidR="00E45B1D" w:rsidRPr="004E0F02">
        <w:t xml:space="preserve"> w ust. </w:t>
      </w:r>
      <w:r w:rsidR="001B0937" w:rsidRPr="004E0F02">
        <w:t>3 pkt 1</w:t>
      </w:r>
      <w:r w:rsidRPr="004E0F02">
        <w:t>, do zestawu elementów metadanych,</w:t>
      </w:r>
      <w:r w:rsidR="003F3502" w:rsidRPr="004E0F02">
        <w:t xml:space="preserve"> o </w:t>
      </w:r>
      <w:r w:rsidRPr="004E0F02">
        <w:t>których mowa</w:t>
      </w:r>
      <w:r w:rsidR="003F3502" w:rsidRPr="004E0F02">
        <w:t xml:space="preserve"> w </w:t>
      </w:r>
      <w:r w:rsidRPr="004E0F02">
        <w:t>przepisach wydanych na podstawie</w:t>
      </w:r>
      <w:r w:rsidR="00E45B1D" w:rsidRPr="004E0F02">
        <w:t xml:space="preserve"> art. </w:t>
      </w:r>
      <w:r w:rsidR="005B2CD0" w:rsidRPr="004E0F02">
        <w:t xml:space="preserve">37 </w:t>
      </w:r>
      <w:r w:rsidR="00E45B1D" w:rsidRPr="004E0F02">
        <w:t>ust. </w:t>
      </w:r>
      <w:r w:rsidRPr="004E0F02">
        <w:t>6.</w:t>
      </w:r>
    </w:p>
    <w:p w14:paraId="44BBE63C" w14:textId="38807D8C" w:rsidR="00EF28B7" w:rsidRPr="004E0F02" w:rsidRDefault="00EF28B7" w:rsidP="00EF28B7">
      <w:pPr>
        <w:pStyle w:val="USTustnpkodeksu"/>
      </w:pPr>
      <w:r w:rsidRPr="004E0F02">
        <w:t>5. </w:t>
      </w:r>
      <w:r w:rsidRPr="004E0F02">
        <w:tab/>
        <w:t>Podmioty,</w:t>
      </w:r>
      <w:r w:rsidR="00253761" w:rsidRPr="004E0F02">
        <w:t xml:space="preserve"> o </w:t>
      </w:r>
      <w:r w:rsidR="00674889" w:rsidRPr="004E0F02">
        <w:t>których mowa</w:t>
      </w:r>
      <w:r w:rsidR="00E45B1D" w:rsidRPr="004E0F02">
        <w:t xml:space="preserve"> w ust. </w:t>
      </w:r>
      <w:r w:rsidRPr="004E0F02">
        <w:t>2, dostosowują,</w:t>
      </w:r>
      <w:r w:rsidR="003F3502" w:rsidRPr="004E0F02">
        <w:t xml:space="preserve"> o </w:t>
      </w:r>
      <w:r w:rsidRPr="004E0F02">
        <w:t>ile jest to możliwe, informacje sektora publicznego do warunków określonych</w:t>
      </w:r>
      <w:r w:rsidR="00E45B1D" w:rsidRPr="004E0F02">
        <w:t xml:space="preserve"> w art. </w:t>
      </w:r>
      <w:r w:rsidR="005B2CD0" w:rsidRPr="004E0F02">
        <w:t xml:space="preserve"> 2 pkt</w:t>
      </w:r>
      <w:r w:rsidR="000C3465" w:rsidRPr="004E0F02">
        <w:t xml:space="preserve"> 11</w:t>
      </w:r>
      <w:r w:rsidRPr="004E0F02">
        <w:t>.</w:t>
      </w:r>
    </w:p>
    <w:p w14:paraId="777C664F" w14:textId="345D451E" w:rsidR="00EF28B7" w:rsidRPr="004E0F02" w:rsidRDefault="00EF28B7" w:rsidP="00EF28B7">
      <w:pPr>
        <w:pStyle w:val="USTustnpkodeksu"/>
      </w:pPr>
      <w:r w:rsidRPr="004E0F02">
        <w:t>6. Podmioty,</w:t>
      </w:r>
      <w:r w:rsidR="00253761" w:rsidRPr="004E0F02">
        <w:t xml:space="preserve"> o </w:t>
      </w:r>
      <w:r w:rsidR="00674889" w:rsidRPr="004E0F02">
        <w:t>których mowa</w:t>
      </w:r>
      <w:r w:rsidR="00E45B1D" w:rsidRPr="004E0F02">
        <w:t xml:space="preserve"> w ust. </w:t>
      </w:r>
      <w:r w:rsidRPr="004E0F02">
        <w:t>2, są obowiązane do systematycznego weryfikowania</w:t>
      </w:r>
      <w:r w:rsidR="003F3502" w:rsidRPr="004E0F02">
        <w:t xml:space="preserve"> i </w:t>
      </w:r>
      <w:r w:rsidRPr="004E0F02">
        <w:t>aktualizowania informacji sektora publicznego oraz metadanych udostępni</w:t>
      </w:r>
      <w:r w:rsidR="00581F44" w:rsidRPr="004E0F02">
        <w:t>a</w:t>
      </w:r>
      <w:r w:rsidRPr="004E0F02">
        <w:t xml:space="preserve">nych na portalu </w:t>
      </w:r>
      <w:r w:rsidR="00713824" w:rsidRPr="004E0F02">
        <w:t xml:space="preserve">danych </w:t>
      </w:r>
      <w:r w:rsidRPr="004E0F02">
        <w:t>oraz do podnoszenia ich jakości.</w:t>
      </w:r>
    </w:p>
    <w:p w14:paraId="7A6DCEB8" w14:textId="793160E5" w:rsidR="00EF28B7" w:rsidRPr="004E0F02" w:rsidRDefault="00EF28B7" w:rsidP="00E45B1D">
      <w:pPr>
        <w:pStyle w:val="ARTartustawynprozporzdzenia"/>
        <w:keepNext/>
      </w:pPr>
      <w:r w:rsidRPr="004E0F02">
        <w:rPr>
          <w:rStyle w:val="Ppogrubienie"/>
        </w:rPr>
        <w:t>Art. </w:t>
      </w:r>
      <w:r w:rsidR="00AD4CAB" w:rsidRPr="004E0F02">
        <w:rPr>
          <w:rStyle w:val="Ppogrubienie"/>
        </w:rPr>
        <w:t>3</w:t>
      </w:r>
      <w:r w:rsidR="00225724" w:rsidRPr="004E0F02">
        <w:rPr>
          <w:rStyle w:val="Ppogrubienie"/>
        </w:rPr>
        <w:t>6</w:t>
      </w:r>
      <w:r w:rsidRPr="004E0F02">
        <w:rPr>
          <w:rStyle w:val="Ppogrubienie"/>
        </w:rPr>
        <w:t>.</w:t>
      </w:r>
      <w:r w:rsidRPr="004E0F02">
        <w:t> 1. Minister właściwy do spraw informatyzacji może</w:t>
      </w:r>
      <w:r w:rsidR="009A0D0F" w:rsidRPr="004E0F02">
        <w:t xml:space="preserve"> określić</w:t>
      </w:r>
      <w:r w:rsidR="003F3502" w:rsidRPr="004E0F02">
        <w:t xml:space="preserve"> w </w:t>
      </w:r>
      <w:r w:rsidR="009A0D0F" w:rsidRPr="004E0F02">
        <w:t>drodze rozporządzenia</w:t>
      </w:r>
      <w:r w:rsidRPr="004E0F02">
        <w:t>:</w:t>
      </w:r>
    </w:p>
    <w:p w14:paraId="61A069F2" w14:textId="765F1897" w:rsidR="00EF28B7" w:rsidRPr="004E0F02" w:rsidRDefault="00EF28B7" w:rsidP="00EF28B7">
      <w:pPr>
        <w:pStyle w:val="PKTpunkt"/>
      </w:pPr>
      <w:r w:rsidRPr="004E0F02">
        <w:t>1)</w:t>
      </w:r>
      <w:r w:rsidR="00D704B6" w:rsidRPr="004E0F02">
        <w:tab/>
      </w:r>
      <w:r w:rsidRPr="004E0F02">
        <w:t>zakres informacji sektora publicznego przeznaczony do udostępnie</w:t>
      </w:r>
      <w:r w:rsidR="009A0D0F" w:rsidRPr="004E0F02">
        <w:t>nia na portalu danych</w:t>
      </w:r>
      <w:r w:rsidR="00E90A88" w:rsidRPr="004E0F02">
        <w:t>;</w:t>
      </w:r>
    </w:p>
    <w:p w14:paraId="620D418D" w14:textId="393F4C2C" w:rsidR="00EF28B7" w:rsidRPr="004E0F02" w:rsidRDefault="00EF28B7" w:rsidP="00EF28B7">
      <w:pPr>
        <w:pStyle w:val="PKTpunkt"/>
      </w:pPr>
      <w:r w:rsidRPr="004E0F02">
        <w:t>2)</w:t>
      </w:r>
      <w:r w:rsidR="00D704B6" w:rsidRPr="004E0F02">
        <w:tab/>
      </w:r>
      <w:r w:rsidRPr="004E0F02">
        <w:t>wykaz podmiotów zobowiązanych do udostępnienia na portalu danych informacji sektora publicznego wskazanych</w:t>
      </w:r>
      <w:r w:rsidR="00E45B1D" w:rsidRPr="004E0F02">
        <w:t xml:space="preserve"> w pkt </w:t>
      </w:r>
      <w:r w:rsidR="009A0D0F" w:rsidRPr="004E0F02">
        <w:t>1</w:t>
      </w:r>
      <w:r w:rsidR="00E90A88" w:rsidRPr="004E0F02">
        <w:t>;</w:t>
      </w:r>
    </w:p>
    <w:p w14:paraId="3198B9DB" w14:textId="5568FAD5" w:rsidR="00EF28B7" w:rsidRPr="004E0F02" w:rsidRDefault="00EF28B7" w:rsidP="00EF28B7">
      <w:pPr>
        <w:pStyle w:val="PKTpunkt"/>
      </w:pPr>
      <w:r w:rsidRPr="004E0F02">
        <w:t>3)</w:t>
      </w:r>
      <w:r w:rsidR="00D704B6" w:rsidRPr="004E0F02">
        <w:tab/>
      </w:r>
      <w:r w:rsidRPr="004E0F02">
        <w:t>harmonogram udostępniania na portalu danych informacji sektora publicznego oraz metadanych,</w:t>
      </w:r>
      <w:r w:rsidR="003F3502" w:rsidRPr="004E0F02">
        <w:t xml:space="preserve"> o </w:t>
      </w:r>
      <w:r w:rsidRPr="004E0F02">
        <w:t>których mowa</w:t>
      </w:r>
      <w:r w:rsidR="00E45B1D" w:rsidRPr="004E0F02">
        <w:t xml:space="preserve"> w art.</w:t>
      </w:r>
      <w:r w:rsidR="00906EB2" w:rsidRPr="004E0F02">
        <w:t xml:space="preserve"> 35 ust 3 pkt 1</w:t>
      </w:r>
      <w:r w:rsidRPr="004E0F02">
        <w:t>, oraz ich aktualizowania</w:t>
      </w:r>
      <w:r w:rsidR="009E3B54">
        <w:t>,</w:t>
      </w:r>
      <w:r w:rsidRPr="004E0F02">
        <w:t xml:space="preserve"> mając na względzie konieczność zagwara</w:t>
      </w:r>
      <w:r w:rsidR="009A0D0F" w:rsidRPr="004E0F02">
        <w:t>ntowania aktualności informacji</w:t>
      </w:r>
      <w:r w:rsidR="00E90A88" w:rsidRPr="004E0F02">
        <w:t>;</w:t>
      </w:r>
    </w:p>
    <w:p w14:paraId="78E44E1F" w14:textId="48C38BC9" w:rsidR="00EF28B7" w:rsidRPr="004E0F02" w:rsidRDefault="00EF28B7" w:rsidP="006F7E5B">
      <w:pPr>
        <w:pStyle w:val="PKTpunkt"/>
        <w:keepNext/>
      </w:pPr>
      <w:r w:rsidRPr="004E0F02">
        <w:t>4)</w:t>
      </w:r>
      <w:r w:rsidR="00D704B6" w:rsidRPr="004E0F02">
        <w:tab/>
      </w:r>
      <w:r w:rsidRPr="004E0F02">
        <w:t>sposób udostępniania,</w:t>
      </w:r>
      <w:r w:rsidR="003F3502" w:rsidRPr="004E0F02">
        <w:t xml:space="preserve"> </w:t>
      </w:r>
      <w:r w:rsidR="00AE31A0" w:rsidRPr="004E0F02">
        <w:t>o którym mowa w przepisach wydanych na podstawie art. 37 ust. 6</w:t>
      </w:r>
      <w:r w:rsidR="006F7E5B" w:rsidRPr="004E0F02">
        <w:t xml:space="preserve">, </w:t>
      </w:r>
      <w:r w:rsidRPr="004E0F02">
        <w:t>mając na względzie posiadaną przez ten podmiot infrastrukturę teleinformatyczną umożliwiającą gromadzenie</w:t>
      </w:r>
      <w:r w:rsidR="003F3502" w:rsidRPr="004E0F02">
        <w:t xml:space="preserve"> w </w:t>
      </w:r>
      <w:r w:rsidRPr="004E0F02">
        <w:t>niej informacji publicznych oraz ich udostępnianie,</w:t>
      </w:r>
      <w:r w:rsidR="003F3502" w:rsidRPr="004E0F02">
        <w:t xml:space="preserve"> a </w:t>
      </w:r>
      <w:r w:rsidRPr="004E0F02">
        <w:t>także możliwości techniczne przechowywania tych informacji na portalu danych.</w:t>
      </w:r>
    </w:p>
    <w:p w14:paraId="3A724F41" w14:textId="5D4F1E51" w:rsidR="00EF28B7" w:rsidRPr="004E0F02" w:rsidRDefault="005E4CB2" w:rsidP="00EF28B7">
      <w:pPr>
        <w:pStyle w:val="USTustnpkodeksu"/>
      </w:pPr>
      <w:r w:rsidRPr="004E0F02">
        <w:t>2</w:t>
      </w:r>
      <w:r w:rsidR="00EF28B7" w:rsidRPr="004E0F02">
        <w:t>. Do podmiotów, informacji sektora publicznego oraz metadanych określonych</w:t>
      </w:r>
      <w:r w:rsidR="003F3502" w:rsidRPr="004E0F02">
        <w:t xml:space="preserve"> w </w:t>
      </w:r>
      <w:r w:rsidR="003333FE" w:rsidRPr="004E0F02">
        <w:t>przepisach wydanych na podstawie</w:t>
      </w:r>
      <w:r w:rsidR="00E45B1D" w:rsidRPr="004E0F02">
        <w:t xml:space="preserve"> ust. </w:t>
      </w:r>
      <w:r w:rsidR="003F3502" w:rsidRPr="004E0F02">
        <w:t>1 </w:t>
      </w:r>
      <w:r w:rsidR="00EF28B7" w:rsidRPr="004E0F02">
        <w:t>stosuje się przepisy</w:t>
      </w:r>
      <w:r w:rsidR="00E45B1D" w:rsidRPr="004E0F02">
        <w:t xml:space="preserve"> art. </w:t>
      </w:r>
      <w:r w:rsidR="000C3465" w:rsidRPr="004E0F02">
        <w:t xml:space="preserve">35 </w:t>
      </w:r>
      <w:r w:rsidR="00E45B1D" w:rsidRPr="004E0F02">
        <w:t>ust. </w:t>
      </w:r>
      <w:r w:rsidR="003F3502" w:rsidRPr="004E0F02">
        <w:t>4</w:t>
      </w:r>
      <w:r w:rsidR="00DD6B74" w:rsidRPr="004E0F02">
        <w:t>–</w:t>
      </w:r>
      <w:r w:rsidR="00E45B1D" w:rsidRPr="004E0F02">
        <w:t>6 oraz</w:t>
      </w:r>
      <w:r w:rsidR="00EF28B7" w:rsidRPr="004E0F02">
        <w:t xml:space="preserve"> przepisy wydane na podstawie</w:t>
      </w:r>
      <w:r w:rsidR="00E45B1D" w:rsidRPr="004E0F02">
        <w:t xml:space="preserve"> art. </w:t>
      </w:r>
      <w:r w:rsidR="000C3465" w:rsidRPr="004E0F02">
        <w:t xml:space="preserve">37 </w:t>
      </w:r>
      <w:r w:rsidR="00E45B1D" w:rsidRPr="004E0F02">
        <w:t>ust. </w:t>
      </w:r>
      <w:r w:rsidR="00EF28B7" w:rsidRPr="004E0F02">
        <w:t>6.</w:t>
      </w:r>
    </w:p>
    <w:p w14:paraId="4E573A7E" w14:textId="3AB20EB3" w:rsidR="00EF28B7" w:rsidRPr="004E0F02" w:rsidRDefault="00EF28B7" w:rsidP="00EF28B7">
      <w:pPr>
        <w:pStyle w:val="ARTartustawynprozporzdzenia"/>
      </w:pPr>
      <w:r w:rsidRPr="004E0F02">
        <w:rPr>
          <w:rStyle w:val="Ppogrubienie"/>
        </w:rPr>
        <w:t>Art. </w:t>
      </w:r>
      <w:r w:rsidR="00AD4CAB" w:rsidRPr="004E0F02">
        <w:rPr>
          <w:rStyle w:val="Ppogrubienie"/>
        </w:rPr>
        <w:t>3</w:t>
      </w:r>
      <w:r w:rsidR="00225724" w:rsidRPr="004E0F02">
        <w:rPr>
          <w:rStyle w:val="Ppogrubienie"/>
        </w:rPr>
        <w:t>7</w:t>
      </w:r>
      <w:r w:rsidRPr="004E0F02">
        <w:rPr>
          <w:rStyle w:val="Ppogrubienie"/>
        </w:rPr>
        <w:t>.</w:t>
      </w:r>
      <w:r w:rsidRPr="004E0F02">
        <w:t> 1. Minister właściwy do spraw informatyzacji prowadzi portal danych.</w:t>
      </w:r>
    </w:p>
    <w:p w14:paraId="036BD15D" w14:textId="5BEAB12F" w:rsidR="00EF28B7" w:rsidRPr="004E0F02" w:rsidRDefault="00EF28B7" w:rsidP="00E45B1D">
      <w:pPr>
        <w:pStyle w:val="USTustnpkodeksu"/>
        <w:keepNext/>
      </w:pPr>
      <w:r w:rsidRPr="004E0F02">
        <w:t>2. Portal danych zapewnia przeszukiwanie informacji sektora publicznego</w:t>
      </w:r>
      <w:r w:rsidR="003F3502" w:rsidRPr="004E0F02">
        <w:t xml:space="preserve"> w </w:t>
      </w:r>
      <w:r w:rsidRPr="004E0F02">
        <w:t>szczególności według:</w:t>
      </w:r>
    </w:p>
    <w:p w14:paraId="5A4B8B3D" w14:textId="77777777" w:rsidR="00EF28B7" w:rsidRPr="004E0F02" w:rsidRDefault="00EF28B7" w:rsidP="00EF28B7">
      <w:pPr>
        <w:pStyle w:val="PKTpunkt"/>
      </w:pPr>
      <w:r w:rsidRPr="004E0F02">
        <w:t>1)</w:t>
      </w:r>
      <w:r w:rsidR="00D704B6" w:rsidRPr="004E0F02">
        <w:tab/>
      </w:r>
      <w:r w:rsidRPr="004E0F02">
        <w:t>kryterium przedmiotowego;</w:t>
      </w:r>
    </w:p>
    <w:p w14:paraId="1F2994AE" w14:textId="77777777" w:rsidR="00EF28B7" w:rsidRPr="004E0F02" w:rsidRDefault="00EF28B7" w:rsidP="00EF28B7">
      <w:pPr>
        <w:pStyle w:val="PKTpunkt"/>
      </w:pPr>
      <w:r w:rsidRPr="004E0F02">
        <w:t>2)</w:t>
      </w:r>
      <w:r w:rsidR="00D704B6" w:rsidRPr="004E0F02">
        <w:tab/>
      </w:r>
      <w:r w:rsidRPr="004E0F02">
        <w:t>kryterium podmiotowego;</w:t>
      </w:r>
    </w:p>
    <w:p w14:paraId="193991CF" w14:textId="429324F8" w:rsidR="00EF28B7" w:rsidRPr="004E0F02" w:rsidRDefault="00EF28B7" w:rsidP="00EF28B7">
      <w:pPr>
        <w:pStyle w:val="PKTpunkt"/>
      </w:pPr>
      <w:r w:rsidRPr="004E0F02">
        <w:t>3)</w:t>
      </w:r>
      <w:r w:rsidR="00D704B6" w:rsidRPr="004E0F02">
        <w:tab/>
      </w:r>
      <w:r w:rsidRPr="004E0F02">
        <w:t>elementów metadanych,</w:t>
      </w:r>
      <w:r w:rsidR="003F3502" w:rsidRPr="004E0F02">
        <w:t xml:space="preserve"> o </w:t>
      </w:r>
      <w:r w:rsidRPr="004E0F02">
        <w:t>których mowa</w:t>
      </w:r>
      <w:r w:rsidR="003F3502" w:rsidRPr="004E0F02">
        <w:t xml:space="preserve"> w </w:t>
      </w:r>
      <w:r w:rsidRPr="004E0F02">
        <w:t>przepisach wydanych na podstawie</w:t>
      </w:r>
      <w:r w:rsidR="00E45B1D" w:rsidRPr="004E0F02">
        <w:t xml:space="preserve"> ust. </w:t>
      </w:r>
      <w:r w:rsidRPr="004E0F02">
        <w:t>6</w:t>
      </w:r>
      <w:r w:rsidR="00D704B6" w:rsidRPr="004E0F02">
        <w:t>.</w:t>
      </w:r>
    </w:p>
    <w:p w14:paraId="509B6753" w14:textId="559C2ED7" w:rsidR="00EF28B7" w:rsidRPr="004E0F02" w:rsidRDefault="00EF28B7" w:rsidP="00E45B1D">
      <w:pPr>
        <w:pStyle w:val="USTustnpkodeksu"/>
        <w:keepNext/>
      </w:pPr>
      <w:r w:rsidRPr="004E0F02">
        <w:t>3. Minister właściwy do spraw informatyzacji może zlecić wyspecjalizowanym podmiotom czynności związane</w:t>
      </w:r>
      <w:r w:rsidR="003F3502" w:rsidRPr="004E0F02">
        <w:t xml:space="preserve"> z </w:t>
      </w:r>
      <w:r w:rsidRPr="004E0F02">
        <w:t>prowadzeniem portalu</w:t>
      </w:r>
      <w:r w:rsidR="00713824" w:rsidRPr="004E0F02">
        <w:t xml:space="preserve"> danych</w:t>
      </w:r>
      <w:r w:rsidRPr="004E0F02">
        <w:t>, pod warunkiem zapewnienia:</w:t>
      </w:r>
    </w:p>
    <w:p w14:paraId="74D7ACAC" w14:textId="2AF7EEA5" w:rsidR="00EF28B7" w:rsidRPr="004E0F02" w:rsidRDefault="00EF28B7" w:rsidP="00E45B1D">
      <w:pPr>
        <w:pStyle w:val="PKTpunkt"/>
        <w:keepNext/>
      </w:pPr>
      <w:r w:rsidRPr="004E0F02">
        <w:t>1)</w:t>
      </w:r>
      <w:r w:rsidR="00D704B6" w:rsidRPr="004E0F02">
        <w:tab/>
      </w:r>
      <w:r w:rsidRPr="004E0F02">
        <w:t>przez te podmioty:</w:t>
      </w:r>
    </w:p>
    <w:p w14:paraId="1108344E" w14:textId="77777777" w:rsidR="00EF28B7" w:rsidRPr="004E0F02" w:rsidRDefault="00EF28B7" w:rsidP="00EF28B7">
      <w:pPr>
        <w:pStyle w:val="LITlitera"/>
      </w:pPr>
      <w:r w:rsidRPr="004E0F02">
        <w:t>a)</w:t>
      </w:r>
      <w:r w:rsidR="00D704B6" w:rsidRPr="004E0F02">
        <w:tab/>
      </w:r>
      <w:r w:rsidRPr="004E0F02">
        <w:t>rozliczalności</w:t>
      </w:r>
      <w:r w:rsidR="003F3502" w:rsidRPr="004E0F02">
        <w:t xml:space="preserve"> i </w:t>
      </w:r>
      <w:r w:rsidRPr="004E0F02">
        <w:t>niezawodności jego prowadzenia,</w:t>
      </w:r>
    </w:p>
    <w:p w14:paraId="1D93DC67" w14:textId="2AEAA150" w:rsidR="007D659D" w:rsidRPr="004E0F02" w:rsidRDefault="00EF28B7" w:rsidP="00EF28B7">
      <w:pPr>
        <w:pStyle w:val="LITlitera"/>
      </w:pPr>
      <w:r w:rsidRPr="004E0F02">
        <w:lastRenderedPageBreak/>
        <w:t>b)</w:t>
      </w:r>
      <w:r w:rsidR="00D704B6" w:rsidRPr="004E0F02">
        <w:tab/>
      </w:r>
      <w:r w:rsidRPr="004E0F02">
        <w:t>integralności, rozliczalności, dostępności, autentyczności</w:t>
      </w:r>
      <w:r w:rsidR="003F3502" w:rsidRPr="004E0F02">
        <w:t xml:space="preserve"> i </w:t>
      </w:r>
      <w:r w:rsidRPr="004E0F02">
        <w:t>niezaprzeczalności zbiorów danych</w:t>
      </w:r>
      <w:r w:rsidR="003F3502" w:rsidRPr="004E0F02">
        <w:t xml:space="preserve"> w </w:t>
      </w:r>
      <w:r w:rsidRPr="004E0F02">
        <w:t>nim udostępnianych;</w:t>
      </w:r>
    </w:p>
    <w:p w14:paraId="4B104DED" w14:textId="112B08CB" w:rsidR="00EF28B7" w:rsidRPr="004E0F02" w:rsidRDefault="00EF28B7" w:rsidP="00EF28B7">
      <w:pPr>
        <w:pStyle w:val="PKTpunkt"/>
      </w:pPr>
      <w:r w:rsidRPr="004E0F02">
        <w:t>2)</w:t>
      </w:r>
      <w:r w:rsidR="00D704B6" w:rsidRPr="004E0F02">
        <w:tab/>
      </w:r>
      <w:r w:rsidRPr="004E0F02">
        <w:t>możliwości przeprowadzenia przez tego ministra kontroli spełnienia warunków,</w:t>
      </w:r>
      <w:r w:rsidR="003F3502" w:rsidRPr="004E0F02">
        <w:t xml:space="preserve"> o </w:t>
      </w:r>
      <w:r w:rsidRPr="004E0F02">
        <w:t>których mowa</w:t>
      </w:r>
      <w:r w:rsidR="00E45B1D" w:rsidRPr="004E0F02">
        <w:t xml:space="preserve"> w pkt </w:t>
      </w:r>
      <w:r w:rsidR="00906EB2" w:rsidRPr="004E0F02">
        <w:t>1;</w:t>
      </w:r>
    </w:p>
    <w:p w14:paraId="048B0896" w14:textId="199F95FA" w:rsidR="007D659D" w:rsidRPr="004E0F02" w:rsidRDefault="007D659D" w:rsidP="00EF28B7">
      <w:pPr>
        <w:pStyle w:val="PKTpunkt"/>
      </w:pPr>
      <w:r w:rsidRPr="004E0F02">
        <w:t>3)</w:t>
      </w:r>
      <w:r w:rsidRPr="004E0F02">
        <w:tab/>
        <w:t>przez te podmi</w:t>
      </w:r>
      <w:r w:rsidR="00510E3C" w:rsidRPr="004E0F02">
        <w:t xml:space="preserve">oty, w przypadku zawarcia umowy, </w:t>
      </w:r>
      <w:r w:rsidRPr="004E0F02">
        <w:t>o której mowa w art. 28 ust. 3 rozporządzenia 2016/679, warunków organizacyjnych i technicznych zapewniających ochronę przetwarzanych danych osobowych, w szczególności zabezpieczenia danych przed nieuprawnionym dostępem, nielegalnym ujawnieniem lub pozyskaniem, a także ich modyfikacją, uszkodzeniem, zniszczeniem lub utratą.</w:t>
      </w:r>
    </w:p>
    <w:p w14:paraId="4B8A4C00" w14:textId="20E141D7" w:rsidR="00EF28B7" w:rsidRPr="004E0F02" w:rsidRDefault="00EF28B7" w:rsidP="00EF28B7">
      <w:pPr>
        <w:pStyle w:val="USTustnpkodeksu"/>
      </w:pPr>
      <w:r w:rsidRPr="004E0F02">
        <w:t>4. Minister właściwy do spraw informatyzacji weryfikuje udostępni</w:t>
      </w:r>
      <w:r w:rsidR="00A519A9" w:rsidRPr="004E0F02">
        <w:t>a</w:t>
      </w:r>
      <w:r w:rsidRPr="004E0F02">
        <w:t>ne na portalu danych informacje sektora publicznego oraz metadane,</w:t>
      </w:r>
      <w:r w:rsidR="003F3502" w:rsidRPr="004E0F02">
        <w:t xml:space="preserve"> o </w:t>
      </w:r>
      <w:r w:rsidRPr="004E0F02">
        <w:t>których mowa</w:t>
      </w:r>
      <w:r w:rsidR="00E45B1D" w:rsidRPr="004E0F02">
        <w:t xml:space="preserve"> w art. </w:t>
      </w:r>
      <w:r w:rsidR="000C3465" w:rsidRPr="004E0F02">
        <w:t xml:space="preserve">35 </w:t>
      </w:r>
      <w:r w:rsidR="00E45B1D" w:rsidRPr="004E0F02">
        <w:t>ust. </w:t>
      </w:r>
      <w:r w:rsidR="002421EB" w:rsidRPr="004E0F02">
        <w:t>3 pkt 1</w:t>
      </w:r>
      <w:r w:rsidRPr="004E0F02">
        <w:t>, pod względem spełnienia wymogów,</w:t>
      </w:r>
      <w:r w:rsidR="003F3502" w:rsidRPr="004E0F02">
        <w:t xml:space="preserve"> o </w:t>
      </w:r>
      <w:r w:rsidRPr="004E0F02">
        <w:t>których mowa</w:t>
      </w:r>
      <w:r w:rsidR="00E45B1D" w:rsidRPr="004E0F02">
        <w:t xml:space="preserve"> w art. </w:t>
      </w:r>
      <w:r w:rsidR="000C3465" w:rsidRPr="004E0F02">
        <w:t xml:space="preserve">35 </w:t>
      </w:r>
      <w:r w:rsidR="00E45B1D" w:rsidRPr="004E0F02">
        <w:t>ust. </w:t>
      </w:r>
      <w:r w:rsidRPr="004E0F02">
        <w:t>4, oraz wymogów określonych</w:t>
      </w:r>
      <w:r w:rsidR="003F3502" w:rsidRPr="004E0F02">
        <w:t xml:space="preserve"> w </w:t>
      </w:r>
      <w:r w:rsidRPr="004E0F02">
        <w:t>przepisach wydanych na podstawie</w:t>
      </w:r>
      <w:r w:rsidR="00E45B1D" w:rsidRPr="004E0F02">
        <w:t xml:space="preserve"> ust. </w:t>
      </w:r>
      <w:r w:rsidRPr="004E0F02">
        <w:t>6.</w:t>
      </w:r>
    </w:p>
    <w:p w14:paraId="139270BF" w14:textId="176CCE7F" w:rsidR="00EF28B7" w:rsidRPr="004E0F02" w:rsidRDefault="00EF28B7" w:rsidP="00EF28B7">
      <w:pPr>
        <w:pStyle w:val="USTustnpkodeksu"/>
      </w:pPr>
      <w:r w:rsidRPr="004E0F02">
        <w:t>5.</w:t>
      </w:r>
      <w:r w:rsidR="003F3502" w:rsidRPr="004E0F02">
        <w:t> W </w:t>
      </w:r>
      <w:r w:rsidRPr="004E0F02">
        <w:t>przypadku gdy informacje sektora publicznego lub metadane,</w:t>
      </w:r>
      <w:r w:rsidR="003F3502" w:rsidRPr="004E0F02">
        <w:t xml:space="preserve"> o </w:t>
      </w:r>
      <w:r w:rsidRPr="004E0F02">
        <w:t>których mowa</w:t>
      </w:r>
      <w:r w:rsidR="00E45B1D" w:rsidRPr="004E0F02">
        <w:t xml:space="preserve"> w art. </w:t>
      </w:r>
      <w:r w:rsidR="000C3465" w:rsidRPr="004E0F02">
        <w:t xml:space="preserve">35 </w:t>
      </w:r>
      <w:r w:rsidR="00E45B1D" w:rsidRPr="004E0F02">
        <w:t>ust. </w:t>
      </w:r>
      <w:r w:rsidR="002421EB" w:rsidRPr="004E0F02">
        <w:t>3 pkt 1</w:t>
      </w:r>
      <w:r w:rsidRPr="004E0F02">
        <w:t>, nie spełniają wymogów,</w:t>
      </w:r>
      <w:r w:rsidR="003F3502" w:rsidRPr="004E0F02">
        <w:t xml:space="preserve"> o </w:t>
      </w:r>
      <w:r w:rsidRPr="004E0F02">
        <w:t>których mowa</w:t>
      </w:r>
      <w:r w:rsidR="00E45B1D" w:rsidRPr="004E0F02">
        <w:t xml:space="preserve"> w ust. </w:t>
      </w:r>
      <w:r w:rsidR="00906EB2" w:rsidRPr="004E0F02">
        <w:t>4</w:t>
      </w:r>
      <w:r w:rsidRPr="004E0F02">
        <w:t>, minister właściwy do spraw informatyzacji wzywa podmiot, który je udostępni</w:t>
      </w:r>
      <w:r w:rsidR="00A519A9" w:rsidRPr="004E0F02">
        <w:t>a</w:t>
      </w:r>
      <w:r w:rsidRPr="004E0F02" w:rsidDel="006E0D51">
        <w:t xml:space="preserve"> </w:t>
      </w:r>
      <w:r w:rsidRPr="004E0F02">
        <w:t>do ich niezwłocznego dostosowania do tych wymogów.</w:t>
      </w:r>
    </w:p>
    <w:p w14:paraId="73FC1392" w14:textId="77777777" w:rsidR="00EF28B7" w:rsidRPr="004E0F02" w:rsidRDefault="00EF28B7" w:rsidP="00E45B1D">
      <w:pPr>
        <w:pStyle w:val="USTustnpkodeksu"/>
        <w:keepNext/>
      </w:pPr>
      <w:r w:rsidRPr="004E0F02">
        <w:t>6. Rada Ministrów określi,</w:t>
      </w:r>
      <w:r w:rsidR="003F3502" w:rsidRPr="004E0F02">
        <w:t xml:space="preserve"> w </w:t>
      </w:r>
      <w:r w:rsidRPr="004E0F02">
        <w:t>drodze rozporządzenia:</w:t>
      </w:r>
    </w:p>
    <w:p w14:paraId="2887AD1E" w14:textId="17B3FC65" w:rsidR="00EF28B7" w:rsidRPr="004E0F02" w:rsidRDefault="00EF28B7" w:rsidP="00EF28B7">
      <w:pPr>
        <w:pStyle w:val="PKTpunkt"/>
      </w:pPr>
      <w:r w:rsidRPr="004E0F02">
        <w:t>1)</w:t>
      </w:r>
      <w:r w:rsidR="00D704B6" w:rsidRPr="004E0F02">
        <w:tab/>
      </w:r>
      <w:r w:rsidRPr="004E0F02">
        <w:t>sposób weryfikacji,</w:t>
      </w:r>
      <w:r w:rsidR="003F3502" w:rsidRPr="004E0F02">
        <w:t xml:space="preserve"> o </w:t>
      </w:r>
      <w:r w:rsidRPr="004E0F02">
        <w:t>której mowa</w:t>
      </w:r>
      <w:r w:rsidR="00E45B1D" w:rsidRPr="004E0F02">
        <w:t xml:space="preserve"> w ust. </w:t>
      </w:r>
      <w:r w:rsidR="00567D47" w:rsidRPr="004E0F02">
        <w:t>4</w:t>
      </w:r>
      <w:r w:rsidR="00B42329" w:rsidRPr="004E0F02">
        <w:t>;</w:t>
      </w:r>
    </w:p>
    <w:p w14:paraId="78093315" w14:textId="3DA236C9" w:rsidR="00EF28B7" w:rsidRPr="004E0F02" w:rsidRDefault="00EF28B7" w:rsidP="00EF28B7">
      <w:pPr>
        <w:pStyle w:val="PKTpunkt"/>
      </w:pPr>
      <w:r w:rsidRPr="004E0F02">
        <w:t>2)</w:t>
      </w:r>
      <w:r w:rsidRPr="004E0F02">
        <w:tab/>
        <w:t>sposób udostępniania,</w:t>
      </w:r>
      <w:r w:rsidR="003F3502" w:rsidRPr="004E0F02">
        <w:t xml:space="preserve"> </w:t>
      </w:r>
      <w:r w:rsidRPr="004E0F02">
        <w:t>mając na względzie posiadaną przez podmiot</w:t>
      </w:r>
      <w:r w:rsidR="00B42329" w:rsidRPr="004E0F02">
        <w:t>y zobowiązane</w:t>
      </w:r>
      <w:r w:rsidRPr="004E0F02">
        <w:t xml:space="preserve"> infrastrukturę teleinformatyczną umożliwiającą gromadzenie</w:t>
      </w:r>
      <w:r w:rsidR="003F3502" w:rsidRPr="004E0F02">
        <w:t xml:space="preserve"> w </w:t>
      </w:r>
      <w:r w:rsidRPr="004E0F02">
        <w:t>niej informacji publicznych oraz ich udostępnianie,</w:t>
      </w:r>
      <w:r w:rsidR="003F3502" w:rsidRPr="004E0F02">
        <w:t xml:space="preserve"> a </w:t>
      </w:r>
      <w:r w:rsidRPr="004E0F02">
        <w:t>także możliwości techniczne przechowywania tych informa</w:t>
      </w:r>
      <w:r w:rsidR="00567D47" w:rsidRPr="004E0F02">
        <w:t>cji na portalu danych</w:t>
      </w:r>
      <w:r w:rsidR="00B42329" w:rsidRPr="004E0F02">
        <w:t>;</w:t>
      </w:r>
    </w:p>
    <w:p w14:paraId="13F9AF02" w14:textId="50C61862" w:rsidR="00EF28B7" w:rsidRPr="004E0F02" w:rsidRDefault="00EF28B7" w:rsidP="00EF28B7">
      <w:pPr>
        <w:pStyle w:val="PKTpunkt"/>
      </w:pPr>
      <w:r w:rsidRPr="004E0F02">
        <w:t>3)</w:t>
      </w:r>
      <w:r w:rsidRPr="004E0F02">
        <w:tab/>
        <w:t>sposób przetwarzania na portalu danych informacji sektora publicznego</w:t>
      </w:r>
      <w:r w:rsidR="003F3502" w:rsidRPr="004E0F02">
        <w:t xml:space="preserve"> i </w:t>
      </w:r>
      <w:r w:rsidRPr="004E0F02">
        <w:t>metadanych, o których mowa</w:t>
      </w:r>
      <w:r w:rsidR="00E45B1D" w:rsidRPr="004E0F02">
        <w:t xml:space="preserve"> w art. </w:t>
      </w:r>
      <w:r w:rsidR="000C3465" w:rsidRPr="004E0F02">
        <w:t xml:space="preserve">35 </w:t>
      </w:r>
      <w:r w:rsidR="00E45B1D" w:rsidRPr="004E0F02">
        <w:t>ust. </w:t>
      </w:r>
      <w:r w:rsidR="00567D47" w:rsidRPr="004E0F02">
        <w:t>2</w:t>
      </w:r>
      <w:r w:rsidR="00B42329" w:rsidRPr="004E0F02">
        <w:t>;</w:t>
      </w:r>
    </w:p>
    <w:p w14:paraId="6CBB954C" w14:textId="29827AAE" w:rsidR="00567D47" w:rsidRPr="004E0F02" w:rsidRDefault="00EF28B7" w:rsidP="00E45B1D">
      <w:pPr>
        <w:pStyle w:val="PKTpunkt"/>
        <w:keepNext/>
      </w:pPr>
      <w:r w:rsidRPr="004E0F02">
        <w:t>4)</w:t>
      </w:r>
      <w:r w:rsidRPr="004E0F02">
        <w:tab/>
        <w:t>standardy techniczne prowadzenia portalu</w:t>
      </w:r>
      <w:r w:rsidR="00B42329" w:rsidRPr="004E0F02">
        <w:t xml:space="preserve"> danych</w:t>
      </w:r>
      <w:r w:rsidRPr="004E0F02">
        <w:t>, minimalny zestaw elementów metadanych, o których mowa</w:t>
      </w:r>
      <w:r w:rsidR="00E45B1D" w:rsidRPr="004E0F02">
        <w:t xml:space="preserve"> w art. </w:t>
      </w:r>
      <w:r w:rsidR="000C3465" w:rsidRPr="004E0F02">
        <w:t xml:space="preserve">35 </w:t>
      </w:r>
      <w:r w:rsidR="00E45B1D" w:rsidRPr="004E0F02">
        <w:t>ust. </w:t>
      </w:r>
      <w:r w:rsidR="002421EB" w:rsidRPr="004E0F02">
        <w:t>3 pkt 1.</w:t>
      </w:r>
    </w:p>
    <w:p w14:paraId="735B7FF0" w14:textId="1A49556A" w:rsidR="00EF28B7" w:rsidRPr="004E0F02" w:rsidRDefault="00AF626C" w:rsidP="00567D47">
      <w:pPr>
        <w:pStyle w:val="CZWSPPKTczwsplnapunktw"/>
      </w:pPr>
      <w:r w:rsidRPr="004E0F02">
        <w:softHyphen/>
      </w:r>
      <w:r w:rsidR="00E45B1D" w:rsidRPr="004E0F02">
        <w:softHyphen/>
      </w:r>
      <w:r w:rsidR="00E45B1D" w:rsidRPr="004E0F02">
        <w:noBreakHyphen/>
      </w:r>
      <w:r w:rsidRPr="004E0F02">
        <w:tab/>
      </w:r>
      <w:r w:rsidR="00B42329" w:rsidRPr="004E0F02">
        <w:t xml:space="preserve">mając na względzie </w:t>
      </w:r>
      <w:r w:rsidR="00EF28B7" w:rsidRPr="004E0F02">
        <w:t>zasadę neutralności technologicznej, konieczność zapewnienia przeszukiwalności</w:t>
      </w:r>
      <w:r w:rsidR="009A48E6">
        <w:t xml:space="preserve"> i</w:t>
      </w:r>
      <w:r w:rsidR="00EF28B7" w:rsidRPr="004E0F02">
        <w:t xml:space="preserve"> dostępności informacji jak najszerszej grupie użytkowników, możliwość zastosowania automatyzacji procesów oraz potrzebę zapewnienia ich użyteczności</w:t>
      </w:r>
      <w:r w:rsidR="003F3502" w:rsidRPr="004E0F02">
        <w:t xml:space="preserve"> i </w:t>
      </w:r>
      <w:r w:rsidR="00EF28B7" w:rsidRPr="004E0F02">
        <w:t>efektywności.</w:t>
      </w:r>
    </w:p>
    <w:p w14:paraId="184819CB" w14:textId="47AC2DE3" w:rsidR="00EF28B7" w:rsidRPr="004E0F02" w:rsidRDefault="00EF28B7" w:rsidP="00EF28B7">
      <w:pPr>
        <w:pStyle w:val="ARTartustawynprozporzdzenia"/>
      </w:pPr>
      <w:r w:rsidRPr="004E0F02">
        <w:rPr>
          <w:rStyle w:val="Ppogrubienie"/>
        </w:rPr>
        <w:lastRenderedPageBreak/>
        <w:t>Art. </w:t>
      </w:r>
      <w:r w:rsidR="00AD4CAB" w:rsidRPr="004E0F02">
        <w:rPr>
          <w:rStyle w:val="Ppogrubienie"/>
        </w:rPr>
        <w:t>3</w:t>
      </w:r>
      <w:r w:rsidR="00225724" w:rsidRPr="004E0F02">
        <w:rPr>
          <w:rStyle w:val="Ppogrubienie"/>
        </w:rPr>
        <w:t>8</w:t>
      </w:r>
      <w:r w:rsidRPr="004E0F02">
        <w:rPr>
          <w:rStyle w:val="Ppogrubienie"/>
        </w:rPr>
        <w:t>.</w:t>
      </w:r>
      <w:r w:rsidRPr="004E0F02">
        <w:t xml:space="preserve"> 1. Na portalu </w:t>
      </w:r>
      <w:r w:rsidR="00B42329" w:rsidRPr="004E0F02">
        <w:t xml:space="preserve">danych </w:t>
      </w:r>
      <w:r w:rsidRPr="004E0F02">
        <w:t>mogą być udostępni</w:t>
      </w:r>
      <w:r w:rsidR="001A0C6A" w:rsidRPr="004E0F02">
        <w:t>a</w:t>
      </w:r>
      <w:r w:rsidRPr="004E0F02">
        <w:t xml:space="preserve">ne informacje sektora publicznego oraz metadane </w:t>
      </w:r>
      <w:r w:rsidR="001A0C6A" w:rsidRPr="004E0F02">
        <w:t xml:space="preserve">opisujące ich strukturę </w:t>
      </w:r>
      <w:r w:rsidRPr="004E0F02">
        <w:t>będące</w:t>
      </w:r>
      <w:r w:rsidR="003F3502" w:rsidRPr="004E0F02">
        <w:t xml:space="preserve"> w </w:t>
      </w:r>
      <w:r w:rsidRPr="004E0F02">
        <w:t>posiadaniu innych podmiotów niż podmioty</w:t>
      </w:r>
      <w:r w:rsidR="00674889" w:rsidRPr="004E0F02">
        <w:t>,</w:t>
      </w:r>
      <w:r w:rsidR="00253761" w:rsidRPr="004E0F02">
        <w:t xml:space="preserve"> o </w:t>
      </w:r>
      <w:r w:rsidR="00674889" w:rsidRPr="004E0F02">
        <w:t>których mowa</w:t>
      </w:r>
      <w:r w:rsidR="00E45B1D" w:rsidRPr="004E0F02">
        <w:t xml:space="preserve"> w art. </w:t>
      </w:r>
      <w:r w:rsidR="000C3465" w:rsidRPr="004E0F02">
        <w:t xml:space="preserve">35 </w:t>
      </w:r>
      <w:r w:rsidR="00E45B1D" w:rsidRPr="004E0F02">
        <w:t>ust. </w:t>
      </w:r>
      <w:r w:rsidR="003F3502" w:rsidRPr="004E0F02">
        <w:t>2</w:t>
      </w:r>
      <w:r w:rsidRPr="004E0F02">
        <w:t>.</w:t>
      </w:r>
    </w:p>
    <w:p w14:paraId="2112411D" w14:textId="3369350F" w:rsidR="00EF28B7" w:rsidRPr="004E0F02" w:rsidRDefault="00EF28B7" w:rsidP="00EF28B7">
      <w:pPr>
        <w:pStyle w:val="USTustnpkodeksu"/>
      </w:pPr>
      <w:r w:rsidRPr="004E0F02">
        <w:t xml:space="preserve">2. Na portalu </w:t>
      </w:r>
      <w:r w:rsidR="00713824" w:rsidRPr="004E0F02">
        <w:t xml:space="preserve">danych </w:t>
      </w:r>
      <w:r w:rsidRPr="004E0F02">
        <w:t>mogą być udostępni</w:t>
      </w:r>
      <w:r w:rsidR="001A0C6A" w:rsidRPr="004E0F02">
        <w:t>a</w:t>
      </w:r>
      <w:r w:rsidRPr="004E0F02">
        <w:t>ne dane prywatne oraz metadane opisujące ich strukturę.</w:t>
      </w:r>
    </w:p>
    <w:p w14:paraId="5458AA22" w14:textId="0A5E82D3" w:rsidR="00EF28B7" w:rsidRPr="004E0F02" w:rsidRDefault="00EF28B7" w:rsidP="00EF28B7">
      <w:pPr>
        <w:pStyle w:val="USTustnpkodeksu"/>
      </w:pPr>
      <w:r w:rsidRPr="004E0F02">
        <w:t>3. Do danych prywatnych oraz metadanych,</w:t>
      </w:r>
      <w:r w:rsidR="003F3502" w:rsidRPr="004E0F02">
        <w:t xml:space="preserve"> o </w:t>
      </w:r>
      <w:r w:rsidRPr="004E0F02">
        <w:t>których mowa</w:t>
      </w:r>
      <w:r w:rsidR="00E45B1D" w:rsidRPr="004E0F02">
        <w:t xml:space="preserve"> w ust. </w:t>
      </w:r>
      <w:r w:rsidR="003F3502" w:rsidRPr="004E0F02">
        <w:t>2 </w:t>
      </w:r>
      <w:r w:rsidRPr="004E0F02">
        <w:t>stosuje się</w:t>
      </w:r>
      <w:r w:rsidR="00E45B1D" w:rsidRPr="004E0F02">
        <w:t xml:space="preserve"> art. 8 ust. </w:t>
      </w:r>
      <w:r w:rsidR="00E26298" w:rsidRPr="004E0F02">
        <w:t>1,</w:t>
      </w:r>
      <w:r w:rsidR="00E45B1D" w:rsidRPr="004E0F02">
        <w:t xml:space="preserve"> art. 9 ust. </w:t>
      </w:r>
      <w:r w:rsidR="00E26298" w:rsidRPr="004E0F02">
        <w:t>1,</w:t>
      </w:r>
      <w:r w:rsidR="00E45B1D" w:rsidRPr="004E0F02">
        <w:t xml:space="preserve"> art. </w:t>
      </w:r>
      <w:r w:rsidR="00E26298" w:rsidRPr="004E0F02">
        <w:t>1</w:t>
      </w:r>
      <w:r w:rsidR="00E45B1D" w:rsidRPr="004E0F02">
        <w:t>0 ust. 1 </w:t>
      </w:r>
      <w:r w:rsidR="000C3465" w:rsidRPr="004E0F02">
        <w:t>-3</w:t>
      </w:r>
      <w:r w:rsidR="00E26298" w:rsidRPr="004E0F02">
        <w:t>,</w:t>
      </w:r>
      <w:r w:rsidR="00E45B1D" w:rsidRPr="004E0F02">
        <w:t xml:space="preserve"> art. </w:t>
      </w:r>
      <w:r w:rsidR="00E26298" w:rsidRPr="004E0F02">
        <w:t>12,</w:t>
      </w:r>
      <w:r w:rsidR="00E45B1D" w:rsidRPr="004E0F02">
        <w:t xml:space="preserve"> art. </w:t>
      </w:r>
      <w:r w:rsidR="00E26298" w:rsidRPr="004E0F02">
        <w:t>13</w:t>
      </w:r>
      <w:r w:rsidR="00C23353" w:rsidRPr="004E0F02">
        <w:t>,</w:t>
      </w:r>
      <w:r w:rsidR="00E45B1D" w:rsidRPr="004E0F02">
        <w:t xml:space="preserve"> art. </w:t>
      </w:r>
      <w:r w:rsidR="000C3465" w:rsidRPr="004E0F02">
        <w:t xml:space="preserve">35 </w:t>
      </w:r>
      <w:r w:rsidR="00E45B1D" w:rsidRPr="004E0F02">
        <w:t>ust. 4 </w:t>
      </w:r>
      <w:r w:rsidR="00E45B1D" w:rsidRPr="004E0F02">
        <w:noBreakHyphen/>
        <w:t xml:space="preserve"> </w:t>
      </w:r>
      <w:r w:rsidR="00D0371C" w:rsidRPr="004E0F02">
        <w:t>6</w:t>
      </w:r>
      <w:r w:rsidR="009A48E6">
        <w:t xml:space="preserve"> oraz</w:t>
      </w:r>
      <w:r w:rsidR="00E45B1D" w:rsidRPr="004E0F02">
        <w:t xml:space="preserve"> art. </w:t>
      </w:r>
      <w:r w:rsidR="000C3465" w:rsidRPr="004E0F02">
        <w:t xml:space="preserve">37 </w:t>
      </w:r>
      <w:r w:rsidR="00E45B1D" w:rsidRPr="004E0F02">
        <w:t>ust. 4 i </w:t>
      </w:r>
      <w:r w:rsidR="00C23353" w:rsidRPr="004E0F02">
        <w:t>5</w:t>
      </w:r>
      <w:r w:rsidR="005B55EE" w:rsidRPr="004E0F02">
        <w:t>.</w:t>
      </w:r>
    </w:p>
    <w:p w14:paraId="6883C7D2" w14:textId="62CC851C" w:rsidR="00EF28B7" w:rsidRPr="004E0F02" w:rsidRDefault="00EF28B7" w:rsidP="00EF28B7">
      <w:pPr>
        <w:pStyle w:val="USTustnpkodeksu"/>
      </w:pPr>
      <w:r w:rsidRPr="004E0F02">
        <w:t xml:space="preserve">4. Informacje sektora publicznego lub dane prywatne </w:t>
      </w:r>
      <w:r w:rsidR="001A0C6A" w:rsidRPr="004E0F02">
        <w:t xml:space="preserve">oraz metadane </w:t>
      </w:r>
      <w:r w:rsidRPr="004E0F02">
        <w:t>udostępni</w:t>
      </w:r>
      <w:r w:rsidR="001A0C6A" w:rsidRPr="004E0F02">
        <w:t>a</w:t>
      </w:r>
      <w:r w:rsidRPr="004E0F02">
        <w:t>ne na portalu danych na podstawie</w:t>
      </w:r>
      <w:r w:rsidR="00E45B1D" w:rsidRPr="004E0F02">
        <w:t xml:space="preserve"> ust. 1 i </w:t>
      </w:r>
      <w:r w:rsidR="003F3502" w:rsidRPr="004E0F02">
        <w:t>2 </w:t>
      </w:r>
      <w:r w:rsidRPr="004E0F02">
        <w:t>są systematycznie weryfikowane, aktualizowane oraz podnoszona jest ich jakość przez podmioty je udostępniające.</w:t>
      </w:r>
    </w:p>
    <w:p w14:paraId="2295AB97" w14:textId="7CFC4F7D" w:rsidR="00EF28B7" w:rsidRPr="004E0F02" w:rsidRDefault="00EF28B7" w:rsidP="00EF28B7">
      <w:pPr>
        <w:pStyle w:val="USTustnpkodeksu"/>
      </w:pPr>
      <w:r w:rsidRPr="004E0F02">
        <w:t>5. Do podmiotów, informacji sektora publicznego oraz metadanych określonych</w:t>
      </w:r>
      <w:r w:rsidR="00E45B1D" w:rsidRPr="004E0F02">
        <w:t xml:space="preserve"> w ust. 1 lub</w:t>
      </w:r>
      <w:r w:rsidRPr="004E0F02">
        <w:t xml:space="preserve"> danych prywatnych określonych</w:t>
      </w:r>
      <w:r w:rsidR="00E45B1D" w:rsidRPr="004E0F02">
        <w:t xml:space="preserve"> w ust. </w:t>
      </w:r>
      <w:r w:rsidR="003F3502" w:rsidRPr="004E0F02">
        <w:t>2 </w:t>
      </w:r>
      <w:r w:rsidRPr="004E0F02">
        <w:t>stosuje się przepisy wydane na podstawie</w:t>
      </w:r>
      <w:r w:rsidR="00E45B1D" w:rsidRPr="004E0F02">
        <w:t xml:space="preserve"> art. </w:t>
      </w:r>
      <w:r w:rsidR="000C3465" w:rsidRPr="004E0F02">
        <w:t xml:space="preserve">37 </w:t>
      </w:r>
      <w:r w:rsidR="00E45B1D" w:rsidRPr="004E0F02">
        <w:t>ust. 6 oraz</w:t>
      </w:r>
      <w:r w:rsidRPr="004E0F02">
        <w:t>,</w:t>
      </w:r>
      <w:r w:rsidR="003F3502" w:rsidRPr="004E0F02">
        <w:t xml:space="preserve"> o </w:t>
      </w:r>
      <w:r w:rsidRPr="004E0F02">
        <w:t>ile jest to możliwe, przepisy</w:t>
      </w:r>
      <w:r w:rsidR="00E45B1D" w:rsidRPr="004E0F02">
        <w:t xml:space="preserve"> art. </w:t>
      </w:r>
      <w:r w:rsidR="000C3465" w:rsidRPr="004E0F02">
        <w:t xml:space="preserve">35 </w:t>
      </w:r>
      <w:r w:rsidR="00E45B1D" w:rsidRPr="004E0F02">
        <w:t>ust. 4 i </w:t>
      </w:r>
      <w:r w:rsidRPr="004E0F02">
        <w:t>5.</w:t>
      </w:r>
    </w:p>
    <w:p w14:paraId="62E493B3" w14:textId="049831AF" w:rsidR="00EF28B7" w:rsidRPr="004E0F02" w:rsidRDefault="00EF28B7" w:rsidP="00EF28B7">
      <w:pPr>
        <w:pStyle w:val="USTustnpkodeksu"/>
      </w:pPr>
      <w:r w:rsidRPr="004E0F02">
        <w:t>7. Minister właściwy do spraw informatyzacji</w:t>
      </w:r>
      <w:r w:rsidR="00906ADD" w:rsidRPr="004E0F02">
        <w:t xml:space="preserve">, po uprzednim poinformowaniu podmiotu udostępniającego dane, </w:t>
      </w:r>
      <w:r w:rsidRPr="004E0F02">
        <w:t>może usunąć</w:t>
      </w:r>
      <w:r w:rsidR="003F3502" w:rsidRPr="004E0F02">
        <w:t xml:space="preserve"> z </w:t>
      </w:r>
      <w:r w:rsidRPr="004E0F02">
        <w:t xml:space="preserve">portalu </w:t>
      </w:r>
      <w:r w:rsidR="00D0371C" w:rsidRPr="004E0F02">
        <w:t>danych</w:t>
      </w:r>
      <w:r w:rsidR="005B55EE" w:rsidRPr="004E0F02">
        <w:t xml:space="preserve"> </w:t>
      </w:r>
      <w:r w:rsidRPr="004E0F02">
        <w:t>informacje sektora publicznego lub dane prywatne, które nie mają szczególnego znaczenia dla rozwoju innowacyjności</w:t>
      </w:r>
      <w:r w:rsidR="003F3502" w:rsidRPr="004E0F02">
        <w:t xml:space="preserve"> w </w:t>
      </w:r>
      <w:r w:rsidRPr="004E0F02">
        <w:t>państwie</w:t>
      </w:r>
      <w:r w:rsidR="003F3502" w:rsidRPr="004E0F02">
        <w:t xml:space="preserve"> i </w:t>
      </w:r>
      <w:r w:rsidRPr="004E0F02">
        <w:t>rozwoju społeczeństwa informacyjnego.</w:t>
      </w:r>
    </w:p>
    <w:p w14:paraId="76031DAE" w14:textId="43C3F965" w:rsidR="00EF28B7" w:rsidRPr="004E0F02" w:rsidRDefault="00EF28B7" w:rsidP="00EF28B7">
      <w:pPr>
        <w:pStyle w:val="ARTartustawynprozporzdzenia"/>
      </w:pPr>
      <w:r w:rsidRPr="004E0F02">
        <w:rPr>
          <w:rStyle w:val="Ppogrubienie"/>
        </w:rPr>
        <w:t>Art. </w:t>
      </w:r>
      <w:r w:rsidR="00AD4CAB" w:rsidRPr="004E0F02">
        <w:rPr>
          <w:rStyle w:val="Ppogrubienie"/>
        </w:rPr>
        <w:t>3</w:t>
      </w:r>
      <w:r w:rsidR="00225724" w:rsidRPr="004E0F02">
        <w:rPr>
          <w:rStyle w:val="Ppogrubienie"/>
        </w:rPr>
        <w:t>9</w:t>
      </w:r>
      <w:r w:rsidRPr="004E0F02">
        <w:rPr>
          <w:rStyle w:val="Ppogrubienie"/>
        </w:rPr>
        <w:t>.</w:t>
      </w:r>
      <w:r w:rsidRPr="004E0F02">
        <w:t> </w:t>
      </w:r>
      <w:r w:rsidR="00946454" w:rsidRPr="004E0F02">
        <w:t xml:space="preserve">1. </w:t>
      </w:r>
      <w:r w:rsidRPr="004E0F02">
        <w:t xml:space="preserve">Podmioty udostępniające na portalu </w:t>
      </w:r>
      <w:r w:rsidR="00D0371C" w:rsidRPr="004E0F02">
        <w:t xml:space="preserve">danych </w:t>
      </w:r>
      <w:r w:rsidRPr="004E0F02">
        <w:t xml:space="preserve">dane prywatne oraz metadane opisujące ich strukturę, </w:t>
      </w:r>
      <w:r w:rsidR="00906ADD" w:rsidRPr="004E0F02">
        <w:t xml:space="preserve">realizują obowiązki, o których </w:t>
      </w:r>
      <w:r w:rsidRPr="004E0F02">
        <w:t>mowa</w:t>
      </w:r>
      <w:r w:rsidR="00E45B1D" w:rsidRPr="004E0F02">
        <w:t xml:space="preserve"> w art. </w:t>
      </w:r>
      <w:r w:rsidRPr="004E0F02">
        <w:t>1</w:t>
      </w:r>
      <w:r w:rsidR="00E45B1D" w:rsidRPr="004E0F02">
        <w:t>3 ust. </w:t>
      </w:r>
      <w:r w:rsidRPr="004E0F02">
        <w:t>1.</w:t>
      </w:r>
    </w:p>
    <w:p w14:paraId="28B187E2" w14:textId="66CD9EC8" w:rsidR="00946454" w:rsidRPr="004E0F02" w:rsidRDefault="00946454" w:rsidP="00EF28B7">
      <w:pPr>
        <w:pStyle w:val="ARTartustawynprozporzdzenia"/>
      </w:pPr>
      <w:r w:rsidRPr="004E0F02">
        <w:t xml:space="preserve">2. </w:t>
      </w:r>
      <w:r w:rsidR="002C6FAA" w:rsidRPr="004E0F02">
        <w:t xml:space="preserve">Podmioty udostępniające dane </w:t>
      </w:r>
      <w:r w:rsidRPr="004E0F02">
        <w:t xml:space="preserve">prywatne oraz metadane opisujące ich strukturę na portalu </w:t>
      </w:r>
      <w:r w:rsidR="00D27172" w:rsidRPr="004E0F02">
        <w:t xml:space="preserve">danych </w:t>
      </w:r>
      <w:r w:rsidR="002C6FAA" w:rsidRPr="004E0F02">
        <w:t xml:space="preserve">wyrażają zgodę na ich </w:t>
      </w:r>
      <w:r w:rsidRPr="004E0F02">
        <w:t>wykorzystywan</w:t>
      </w:r>
      <w:r w:rsidR="002C6FAA" w:rsidRPr="004E0F02">
        <w:t>i</w:t>
      </w:r>
      <w:r w:rsidRPr="004E0F02">
        <w:t xml:space="preserve">e przez użytkowników </w:t>
      </w:r>
      <w:r w:rsidR="00D27172" w:rsidRPr="004E0F02">
        <w:t xml:space="preserve">w </w:t>
      </w:r>
      <w:r w:rsidRPr="004E0F02">
        <w:t>jakimkolwiek celu.</w:t>
      </w:r>
    </w:p>
    <w:p w14:paraId="70968C60" w14:textId="77777777" w:rsidR="00EF28B7" w:rsidRPr="004E0F02" w:rsidRDefault="00EF28B7" w:rsidP="00EF28B7">
      <w:pPr>
        <w:pStyle w:val="ROZDZODDZOZNoznaczenierozdziauluboddziau"/>
      </w:pPr>
      <w:r w:rsidRPr="004E0F02">
        <w:t>Rozdział 8</w:t>
      </w:r>
    </w:p>
    <w:p w14:paraId="5A943BEE" w14:textId="77777777" w:rsidR="00EF28B7" w:rsidRPr="004E0F02" w:rsidRDefault="00EF28B7" w:rsidP="00E45B1D">
      <w:pPr>
        <w:pStyle w:val="ROZDZODDZPRZEDMprzedmiotregulacjirozdziauluboddziau"/>
      </w:pPr>
      <w:r w:rsidRPr="004E0F02">
        <w:t>Pełnomocnicy do spraw otwartości danych</w:t>
      </w:r>
    </w:p>
    <w:p w14:paraId="3D97585E" w14:textId="4C1387B0" w:rsidR="00EF28B7" w:rsidRPr="004E0F02" w:rsidRDefault="00EF28B7" w:rsidP="00EF28B7">
      <w:pPr>
        <w:pStyle w:val="ARTartustawynprozporzdzenia"/>
      </w:pPr>
      <w:r w:rsidRPr="004E0F02">
        <w:rPr>
          <w:rStyle w:val="Ppogrubienie"/>
        </w:rPr>
        <w:t>Art. </w:t>
      </w:r>
      <w:r w:rsidR="00225724" w:rsidRPr="004E0F02">
        <w:rPr>
          <w:rStyle w:val="Ppogrubienie"/>
        </w:rPr>
        <w:t>40</w:t>
      </w:r>
      <w:r w:rsidRPr="004E0F02">
        <w:rPr>
          <w:rStyle w:val="Ppogrubienie"/>
        </w:rPr>
        <w:t>.</w:t>
      </w:r>
      <w:r w:rsidRPr="004E0F02">
        <w:t xml:space="preserve"> 1. Realizowanie działań </w:t>
      </w:r>
      <w:r w:rsidR="009C7A67" w:rsidRPr="004E0F02">
        <w:t xml:space="preserve">mających na celu poprawę jakości i zwiększenie ilości informacji sektora publicznego udostępnianych na portalu danych </w:t>
      </w:r>
      <w:r w:rsidR="00D27172" w:rsidRPr="004E0F02">
        <w:t>w celu</w:t>
      </w:r>
      <w:r w:rsidR="009C7A67" w:rsidRPr="004E0F02">
        <w:t xml:space="preserve"> ponownego wykorzystywania </w:t>
      </w:r>
      <w:r w:rsidRPr="004E0F02">
        <w:t>powierza się Pełnomocnikom do spraw otwartości danych</w:t>
      </w:r>
      <w:r w:rsidR="00C0728E" w:rsidRPr="004E0F02">
        <w:t>,</w:t>
      </w:r>
      <w:r w:rsidRPr="004E0F02">
        <w:t xml:space="preserve"> zwanych dalej </w:t>
      </w:r>
      <w:r w:rsidR="00E45B1D" w:rsidRPr="004E0F02">
        <w:t>„</w:t>
      </w:r>
      <w:r w:rsidRPr="004E0F02">
        <w:t>Pełnomocnikami</w:t>
      </w:r>
      <w:r w:rsidR="00E45B1D" w:rsidRPr="004E0F02">
        <w:t>”</w:t>
      </w:r>
      <w:r w:rsidRPr="004E0F02">
        <w:t>.</w:t>
      </w:r>
    </w:p>
    <w:p w14:paraId="7225D4BA" w14:textId="39CDBB7A" w:rsidR="00EF28B7" w:rsidRPr="004E0F02" w:rsidRDefault="00EF28B7" w:rsidP="00EF28B7">
      <w:pPr>
        <w:pStyle w:val="USTustnpkodeksu"/>
      </w:pPr>
      <w:r w:rsidRPr="004E0F02">
        <w:t>2. </w:t>
      </w:r>
      <w:r w:rsidR="00CC1C71" w:rsidRPr="00CC1C71">
        <w:t>Pełnomocnik działa w urzędzie obsługującym ministra kierującego działem administracji rządowej, w K</w:t>
      </w:r>
      <w:r w:rsidR="00CC1C71">
        <w:t xml:space="preserve">ancelarii </w:t>
      </w:r>
      <w:r w:rsidR="00CC1C71" w:rsidRPr="00CC1C71">
        <w:t>P</w:t>
      </w:r>
      <w:r w:rsidR="00CC1C71">
        <w:t xml:space="preserve">rezesa </w:t>
      </w:r>
      <w:r w:rsidR="00CC1C71" w:rsidRPr="00CC1C71">
        <w:t>R</w:t>
      </w:r>
      <w:r w:rsidR="00CC1C71">
        <w:t xml:space="preserve">ady </w:t>
      </w:r>
      <w:r w:rsidR="00CC1C71" w:rsidRPr="00CC1C71">
        <w:t>M</w:t>
      </w:r>
      <w:r w:rsidR="00CC1C71">
        <w:t>inistrów</w:t>
      </w:r>
      <w:r w:rsidR="00CC1C71" w:rsidRPr="00CC1C71">
        <w:t xml:space="preserve"> oraz w Głównym Urzędzie Statystycznym.</w:t>
      </w:r>
    </w:p>
    <w:p w14:paraId="26199F18" w14:textId="08D4E9B3" w:rsidR="00360BD0" w:rsidRPr="004E0F02" w:rsidRDefault="00360BD0" w:rsidP="00EF28B7">
      <w:pPr>
        <w:pStyle w:val="USTustnpkodeksu"/>
      </w:pPr>
      <w:r w:rsidRPr="004E0F02">
        <w:lastRenderedPageBreak/>
        <w:t xml:space="preserve">3. Pełnomocnicy, o których mowa w ust. 2, działają również w organach i jednostkach organizacyjnych podległych lub nadzorowanych przez właściwych członków Rady Ministrów, z wyjątkiem Pełnomocnika powołanego przez Prezesa Głównego Urzędu Statystycznego.  </w:t>
      </w:r>
    </w:p>
    <w:p w14:paraId="305EE7D2" w14:textId="5066D54F" w:rsidR="00EF28B7" w:rsidRPr="004E0F02" w:rsidRDefault="00503157" w:rsidP="00EF28B7">
      <w:pPr>
        <w:pStyle w:val="USTustnpkodeksu"/>
      </w:pPr>
      <w:r w:rsidRPr="004E0F02">
        <w:t>4</w:t>
      </w:r>
      <w:r w:rsidR="00EF28B7" w:rsidRPr="004E0F02">
        <w:t xml:space="preserve">. Pełnomocnicy </w:t>
      </w:r>
      <w:r w:rsidR="00CC1C71" w:rsidRPr="00CC1C71">
        <w:t xml:space="preserve">mogą działać w urzędach obsługujących inne </w:t>
      </w:r>
      <w:r w:rsidR="0073299A" w:rsidRPr="004E0F02">
        <w:t>niż wymienione w ust. 2 podmioty zobowiązane.</w:t>
      </w:r>
    </w:p>
    <w:p w14:paraId="43F02DB1" w14:textId="2259166A" w:rsidR="00EF28B7" w:rsidRPr="004E0F02" w:rsidRDefault="0073299A" w:rsidP="00EF28B7">
      <w:pPr>
        <w:pStyle w:val="USTustnpkodeksu"/>
      </w:pPr>
      <w:r w:rsidRPr="004E0F02">
        <w:t>5</w:t>
      </w:r>
      <w:r w:rsidR="00EF28B7" w:rsidRPr="004E0F02">
        <w:t>. Pełnomocników</w:t>
      </w:r>
      <w:r w:rsidR="003F3502" w:rsidRPr="004E0F02">
        <w:t> </w:t>
      </w:r>
      <w:r w:rsidR="00EF28B7" w:rsidRPr="004E0F02">
        <w:t>powołuje</w:t>
      </w:r>
      <w:r w:rsidR="003F3502" w:rsidRPr="004E0F02">
        <w:t xml:space="preserve"> i </w:t>
      </w:r>
      <w:r w:rsidR="00EF28B7" w:rsidRPr="004E0F02">
        <w:t>odwołuje kierownik jednostki organizacyjnej,</w:t>
      </w:r>
      <w:r w:rsidR="003F3502" w:rsidRPr="004E0F02">
        <w:t xml:space="preserve"> w </w:t>
      </w:r>
      <w:r w:rsidR="00EF28B7" w:rsidRPr="004E0F02">
        <w:t>której zatrudniony jest Pełnomocnik.</w:t>
      </w:r>
    </w:p>
    <w:p w14:paraId="7015C74C" w14:textId="4EBD9C60" w:rsidR="00EF28B7" w:rsidRPr="004E0F02" w:rsidRDefault="00250C98" w:rsidP="00EF28B7">
      <w:pPr>
        <w:pStyle w:val="USTustnpkodeksu"/>
      </w:pPr>
      <w:r w:rsidRPr="004E0F02">
        <w:t>6</w:t>
      </w:r>
      <w:r w:rsidR="00EF28B7" w:rsidRPr="004E0F02">
        <w:t>.</w:t>
      </w:r>
      <w:r w:rsidR="003F3502" w:rsidRPr="004E0F02">
        <w:t> W </w:t>
      </w:r>
      <w:r w:rsidR="00EF28B7" w:rsidRPr="004E0F02">
        <w:t>zakresie wykonywanych zadań Pełnomocnik podlega bezpośrednio kierownikowi jednostki organizacyjnej,</w:t>
      </w:r>
      <w:r w:rsidR="003F3502" w:rsidRPr="004E0F02">
        <w:t xml:space="preserve"> w </w:t>
      </w:r>
      <w:r w:rsidR="00D0371C" w:rsidRPr="004E0F02">
        <w:t>której</w:t>
      </w:r>
      <w:r w:rsidR="00EF28B7" w:rsidRPr="004E0F02">
        <w:t xml:space="preserve"> powołano Pełnomocnika.</w:t>
      </w:r>
    </w:p>
    <w:p w14:paraId="0E8BB350" w14:textId="56F9BECD" w:rsidR="00EF28B7" w:rsidRPr="004E0F02" w:rsidRDefault="00250C98" w:rsidP="00EF28B7">
      <w:pPr>
        <w:pStyle w:val="USTustnpkodeksu"/>
      </w:pPr>
      <w:r w:rsidRPr="004E0F02">
        <w:t>7</w:t>
      </w:r>
      <w:r w:rsidR="00EF28B7" w:rsidRPr="004E0F02">
        <w:t>. Obsługę merytoryczną, organizacyjno</w:t>
      </w:r>
      <w:r w:rsidR="00E45B1D" w:rsidRPr="004E0F02">
        <w:noBreakHyphen/>
      </w:r>
      <w:r w:rsidR="00EF28B7" w:rsidRPr="004E0F02">
        <w:t>prawną, techniczną</w:t>
      </w:r>
      <w:r w:rsidR="003F3502" w:rsidRPr="004E0F02">
        <w:t xml:space="preserve"> i </w:t>
      </w:r>
      <w:r w:rsidR="00EF28B7" w:rsidRPr="004E0F02">
        <w:t>kancelaryjno</w:t>
      </w:r>
      <w:r w:rsidR="00E45B1D" w:rsidRPr="004E0F02">
        <w:noBreakHyphen/>
      </w:r>
      <w:r w:rsidR="00EF28B7" w:rsidRPr="004E0F02">
        <w:t>biurową Pełnomocnika zapewnia ministerstwo albo inny urząd,</w:t>
      </w:r>
      <w:r w:rsidR="003F3502" w:rsidRPr="004E0F02">
        <w:t xml:space="preserve"> w </w:t>
      </w:r>
      <w:r w:rsidR="00EF28B7" w:rsidRPr="004E0F02">
        <w:t>którym powołano Pełnomocnika.</w:t>
      </w:r>
    </w:p>
    <w:p w14:paraId="3A4216FE" w14:textId="743E4B21" w:rsidR="00EF28B7" w:rsidRPr="004E0F02" w:rsidRDefault="00EF28B7" w:rsidP="00E45B1D">
      <w:pPr>
        <w:pStyle w:val="ARTartustawynprozporzdzenia"/>
        <w:keepNext/>
      </w:pPr>
      <w:r w:rsidRPr="004E0F02">
        <w:rPr>
          <w:rStyle w:val="Ppogrubienie"/>
        </w:rPr>
        <w:t>Art. </w:t>
      </w:r>
      <w:r w:rsidR="00225724" w:rsidRPr="004E0F02">
        <w:rPr>
          <w:rStyle w:val="Ppogrubienie"/>
        </w:rPr>
        <w:t>41</w:t>
      </w:r>
      <w:r w:rsidRPr="004E0F02">
        <w:rPr>
          <w:rStyle w:val="Ppogrubienie"/>
        </w:rPr>
        <w:t>.</w:t>
      </w:r>
      <w:r w:rsidRPr="004E0F02">
        <w:t> </w:t>
      </w:r>
      <w:r w:rsidR="003F3502" w:rsidRPr="004E0F02">
        <w:t xml:space="preserve"> </w:t>
      </w:r>
      <w:r w:rsidR="0011479F" w:rsidRPr="004E0F02">
        <w:t xml:space="preserve">Do </w:t>
      </w:r>
      <w:r w:rsidRPr="004E0F02">
        <w:t>zadań Pełnomocnik</w:t>
      </w:r>
      <w:r w:rsidR="00545B70" w:rsidRPr="004E0F02">
        <w:t>a</w:t>
      </w:r>
      <w:r w:rsidRPr="004E0F02">
        <w:t xml:space="preserve"> należy</w:t>
      </w:r>
      <w:r w:rsidR="003F3502" w:rsidRPr="004E0F02">
        <w:t xml:space="preserve"> w </w:t>
      </w:r>
      <w:r w:rsidRPr="004E0F02">
        <w:t>szczególności:</w:t>
      </w:r>
    </w:p>
    <w:p w14:paraId="21B7BDEE" w14:textId="510E7FDA" w:rsidR="00EF28B7" w:rsidRPr="004E0F02" w:rsidRDefault="005A11BE" w:rsidP="00EF28B7">
      <w:pPr>
        <w:pStyle w:val="PKTpunkt"/>
      </w:pPr>
      <w:r w:rsidRPr="004E0F02">
        <w:t>1</w:t>
      </w:r>
      <w:r w:rsidR="00EF28B7" w:rsidRPr="004E0F02">
        <w:t>)</w:t>
      </w:r>
      <w:r w:rsidR="00EF28B7" w:rsidRPr="004E0F02">
        <w:tab/>
        <w:t>pozyskiwanie informacji sektora publicznego możliwych do udostępniania na portalu</w:t>
      </w:r>
      <w:r w:rsidR="00CB3364" w:rsidRPr="004E0F02">
        <w:t xml:space="preserve"> danych</w:t>
      </w:r>
      <w:r w:rsidR="00EF28B7" w:rsidRPr="004E0F02">
        <w:t>, będących</w:t>
      </w:r>
      <w:r w:rsidR="003F3502" w:rsidRPr="004E0F02">
        <w:t xml:space="preserve"> w </w:t>
      </w:r>
      <w:r w:rsidR="00EF28B7" w:rsidRPr="004E0F02">
        <w:t>posiadaniu jednostki organizacyjnej</w:t>
      </w:r>
      <w:r w:rsidR="00545B70" w:rsidRPr="004E0F02">
        <w:t>,</w:t>
      </w:r>
      <w:r w:rsidR="003F3502" w:rsidRPr="004E0F02">
        <w:t xml:space="preserve"> w </w:t>
      </w:r>
      <w:r w:rsidR="00EF28B7" w:rsidRPr="004E0F02">
        <w:t xml:space="preserve">której </w:t>
      </w:r>
      <w:r w:rsidR="00545B70" w:rsidRPr="004E0F02">
        <w:t>został powołany</w:t>
      </w:r>
      <w:r w:rsidR="001A5CCC">
        <w:t>,</w:t>
      </w:r>
      <w:r w:rsidR="00545B70" w:rsidRPr="004E0F02">
        <w:t xml:space="preserve"> </w:t>
      </w:r>
      <w:r w:rsidR="00EF28B7" w:rsidRPr="004E0F02">
        <w:t>oraz,</w:t>
      </w:r>
      <w:r w:rsidR="003F3502" w:rsidRPr="004E0F02">
        <w:t xml:space="preserve"> o </w:t>
      </w:r>
      <w:r w:rsidR="00EF28B7" w:rsidRPr="004E0F02">
        <w:t>ile dotyczy,</w:t>
      </w:r>
      <w:r w:rsidR="003F3502" w:rsidRPr="004E0F02">
        <w:t xml:space="preserve"> w </w:t>
      </w:r>
      <w:r w:rsidR="00EF28B7" w:rsidRPr="004E0F02">
        <w:t>organach</w:t>
      </w:r>
      <w:r w:rsidR="003F3502" w:rsidRPr="004E0F02">
        <w:t xml:space="preserve"> i </w:t>
      </w:r>
      <w:r w:rsidR="00EF28B7" w:rsidRPr="004E0F02">
        <w:t>jednostkach organizacyjnych podległych lub nadzorowanych przez właściwego ministra albo Prezesa Rady Ministrów;</w:t>
      </w:r>
    </w:p>
    <w:p w14:paraId="48AA3300" w14:textId="4619AB0B" w:rsidR="005A11BE" w:rsidRPr="004E0F02" w:rsidRDefault="005A11BE" w:rsidP="005A11BE">
      <w:pPr>
        <w:pStyle w:val="PKTpunkt"/>
      </w:pPr>
      <w:r w:rsidRPr="004E0F02">
        <w:t>2)</w:t>
      </w:r>
      <w:r w:rsidRPr="004E0F02">
        <w:tab/>
        <w:t>wspieranie, o ile dotyczy, Realizatora Programu w</w:t>
      </w:r>
      <w:r w:rsidR="00906EB2" w:rsidRPr="004E0F02">
        <w:t xml:space="preserve"> wykonywaniu zadań związanych z </w:t>
      </w:r>
      <w:r w:rsidRPr="004E0F02">
        <w:t>realizacją Programu;</w:t>
      </w:r>
    </w:p>
    <w:p w14:paraId="20FE201D" w14:textId="344BBBE4" w:rsidR="00EF28B7" w:rsidRPr="004E0F02" w:rsidRDefault="005A11BE" w:rsidP="00EF28B7">
      <w:pPr>
        <w:pStyle w:val="PKTpunkt"/>
      </w:pPr>
      <w:r w:rsidRPr="004E0F02">
        <w:t>3</w:t>
      </w:r>
      <w:r w:rsidR="00EF28B7" w:rsidRPr="004E0F02">
        <w:t>)</w:t>
      </w:r>
      <w:r w:rsidR="00EF28B7" w:rsidRPr="004E0F02">
        <w:tab/>
        <w:t>ocena informacji sektora publicznego będących</w:t>
      </w:r>
      <w:r w:rsidR="003F3502" w:rsidRPr="004E0F02">
        <w:t xml:space="preserve"> w </w:t>
      </w:r>
      <w:r w:rsidR="00EF28B7" w:rsidRPr="004E0F02">
        <w:t>posiadaniu jednostki organizacyjnej</w:t>
      </w:r>
      <w:r w:rsidR="00AF4109" w:rsidRPr="004E0F02">
        <w:t>,</w:t>
      </w:r>
      <w:r w:rsidR="003F3502" w:rsidRPr="004E0F02">
        <w:t xml:space="preserve"> w </w:t>
      </w:r>
      <w:r w:rsidR="00EF28B7" w:rsidRPr="004E0F02">
        <w:t xml:space="preserve">której </w:t>
      </w:r>
      <w:r w:rsidR="00AF4109" w:rsidRPr="004E0F02">
        <w:t>został powołany</w:t>
      </w:r>
      <w:r w:rsidR="001A5CCC">
        <w:t>,</w:t>
      </w:r>
      <w:r w:rsidR="00AF4109" w:rsidRPr="004E0F02">
        <w:t xml:space="preserve"> </w:t>
      </w:r>
      <w:r w:rsidR="00EF28B7" w:rsidRPr="004E0F02">
        <w:t>oraz,</w:t>
      </w:r>
      <w:r w:rsidR="003F3502" w:rsidRPr="004E0F02">
        <w:t xml:space="preserve"> o </w:t>
      </w:r>
      <w:r w:rsidR="00EF28B7" w:rsidRPr="004E0F02">
        <w:t>ile dotyczy,</w:t>
      </w:r>
      <w:r w:rsidR="003F3502" w:rsidRPr="004E0F02">
        <w:t xml:space="preserve"> w </w:t>
      </w:r>
      <w:r w:rsidR="00EF28B7" w:rsidRPr="004E0F02">
        <w:t>organach</w:t>
      </w:r>
      <w:r w:rsidR="003F3502" w:rsidRPr="004E0F02">
        <w:t xml:space="preserve"> i </w:t>
      </w:r>
      <w:r w:rsidR="00EF28B7" w:rsidRPr="004E0F02">
        <w:t>jednostkach organizacyjnych podległych lub nadzorowanych przez właściwego ministra albo Prezesa Rady Ministrów</w:t>
      </w:r>
      <w:r w:rsidR="00A62D23" w:rsidRPr="004E0F02">
        <w:t>,</w:t>
      </w:r>
      <w:r w:rsidR="00EF28B7" w:rsidRPr="004E0F02" w:rsidDel="00EB4DCF">
        <w:t xml:space="preserve"> </w:t>
      </w:r>
      <w:r w:rsidR="00EF28B7" w:rsidRPr="004E0F02">
        <w:t>pod względem ich jakości oraz użyteczności, do ich ponownego wykorzystywania;</w:t>
      </w:r>
    </w:p>
    <w:p w14:paraId="61E22A93" w14:textId="3E50D266" w:rsidR="00EF28B7" w:rsidRPr="004E0F02" w:rsidRDefault="005A11BE" w:rsidP="00EF28B7">
      <w:pPr>
        <w:pStyle w:val="PKTpunkt"/>
      </w:pPr>
      <w:r w:rsidRPr="004E0F02">
        <w:t>4</w:t>
      </w:r>
      <w:r w:rsidR="00EF28B7" w:rsidRPr="004E0F02">
        <w:t>)</w:t>
      </w:r>
      <w:r w:rsidR="00EF28B7" w:rsidRPr="004E0F02">
        <w:tab/>
        <w:t>monitorowanie jakości</w:t>
      </w:r>
      <w:r w:rsidR="003F3502" w:rsidRPr="004E0F02">
        <w:t xml:space="preserve"> i </w:t>
      </w:r>
      <w:r w:rsidR="00EF28B7" w:rsidRPr="004E0F02">
        <w:t>aktualności informacji sektora publicznego oraz metadanych udostępni</w:t>
      </w:r>
      <w:r w:rsidR="0094051E" w:rsidRPr="004E0F02">
        <w:t>a</w:t>
      </w:r>
      <w:r w:rsidR="00EF28B7" w:rsidRPr="004E0F02">
        <w:t xml:space="preserve">nych na portalu </w:t>
      </w:r>
      <w:r w:rsidR="00E05852" w:rsidRPr="004E0F02">
        <w:t xml:space="preserve">danych </w:t>
      </w:r>
      <w:r w:rsidR="00EF28B7" w:rsidRPr="004E0F02">
        <w:t>oraz formatów danych,</w:t>
      </w:r>
      <w:r w:rsidR="003F3502" w:rsidRPr="004E0F02">
        <w:t xml:space="preserve"> o </w:t>
      </w:r>
      <w:r w:rsidR="00EF28B7" w:rsidRPr="004E0F02">
        <w:t>których mowa</w:t>
      </w:r>
      <w:r w:rsidR="00E45B1D" w:rsidRPr="004E0F02">
        <w:t xml:space="preserve"> w art. </w:t>
      </w:r>
      <w:r w:rsidR="000C3465" w:rsidRPr="004E0F02">
        <w:t xml:space="preserve">35 </w:t>
      </w:r>
      <w:r w:rsidR="00E45B1D" w:rsidRPr="004E0F02">
        <w:t>ust. 4 pkt </w:t>
      </w:r>
      <w:r w:rsidR="00EF28B7" w:rsidRPr="004E0F02">
        <w:t>1;</w:t>
      </w:r>
    </w:p>
    <w:p w14:paraId="3C88226B" w14:textId="5873F0AB" w:rsidR="00EF28B7" w:rsidRPr="004E0F02" w:rsidRDefault="005A11BE" w:rsidP="00EF28B7">
      <w:pPr>
        <w:pStyle w:val="PKTpunkt"/>
      </w:pPr>
      <w:r w:rsidRPr="004E0F02">
        <w:t>5</w:t>
      </w:r>
      <w:r w:rsidR="00EF28B7" w:rsidRPr="004E0F02">
        <w:t>)</w:t>
      </w:r>
      <w:r w:rsidR="00EF28B7" w:rsidRPr="004E0F02">
        <w:tab/>
        <w:t>współpraca</w:t>
      </w:r>
      <w:r w:rsidR="003F3502" w:rsidRPr="004E0F02">
        <w:t xml:space="preserve"> z </w:t>
      </w:r>
      <w:r w:rsidR="00EF28B7" w:rsidRPr="004E0F02">
        <w:t xml:space="preserve">komórkami organizacyjnymi </w:t>
      </w:r>
      <w:r w:rsidR="0094051E" w:rsidRPr="004E0F02">
        <w:t>jednost</w:t>
      </w:r>
      <w:r w:rsidR="00AF4109" w:rsidRPr="004E0F02">
        <w:t>ki</w:t>
      </w:r>
      <w:r w:rsidR="0094051E" w:rsidRPr="004E0F02">
        <w:t xml:space="preserve"> organizacyjn</w:t>
      </w:r>
      <w:r w:rsidR="00AF4109" w:rsidRPr="004E0F02">
        <w:t>ej</w:t>
      </w:r>
      <w:r w:rsidR="0094051E" w:rsidRPr="004E0F02">
        <w:t>,</w:t>
      </w:r>
      <w:r w:rsidR="00E45B1D" w:rsidRPr="004E0F02">
        <w:t xml:space="preserve"> w </w:t>
      </w:r>
      <w:r w:rsidR="0094051E" w:rsidRPr="004E0F02">
        <w:t>któr</w:t>
      </w:r>
      <w:r w:rsidR="00AF4109" w:rsidRPr="004E0F02">
        <w:t>ej</w:t>
      </w:r>
      <w:r w:rsidR="0094051E" w:rsidRPr="004E0F02">
        <w:t xml:space="preserve"> </w:t>
      </w:r>
      <w:r w:rsidR="00AF4109" w:rsidRPr="004E0F02">
        <w:t>został powołany</w:t>
      </w:r>
      <w:r w:rsidR="001A5CCC">
        <w:t>,</w:t>
      </w:r>
      <w:r w:rsidR="0094051E" w:rsidRPr="004E0F02">
        <w:t xml:space="preserve"> </w:t>
      </w:r>
      <w:r w:rsidR="00EF28B7" w:rsidRPr="004E0F02">
        <w:t>oraz,</w:t>
      </w:r>
      <w:r w:rsidR="00253761" w:rsidRPr="004E0F02">
        <w:t xml:space="preserve"> o </w:t>
      </w:r>
      <w:r w:rsidR="00EF28B7" w:rsidRPr="004E0F02">
        <w:t>ile dotyczy,</w:t>
      </w:r>
      <w:r w:rsidR="003F3502" w:rsidRPr="004E0F02">
        <w:t xml:space="preserve"> z </w:t>
      </w:r>
      <w:r w:rsidR="00EF28B7" w:rsidRPr="004E0F02">
        <w:t>organami</w:t>
      </w:r>
      <w:r w:rsidR="003F3502" w:rsidRPr="004E0F02">
        <w:t xml:space="preserve"> i </w:t>
      </w:r>
      <w:r w:rsidR="00EF28B7" w:rsidRPr="004E0F02">
        <w:t>jednostkami organizacyjnymi podległymi lub nadzorowanymi przez właściwego ministra albo Prezesa Rady Ministrów,</w:t>
      </w:r>
      <w:r w:rsidR="003F3502" w:rsidRPr="004E0F02">
        <w:t xml:space="preserve"> w </w:t>
      </w:r>
      <w:r w:rsidR="00EF28B7" w:rsidRPr="004E0F02">
        <w:t>zakresie poprawy jakości informacji sektora publicznego udostępnianych na portalu</w:t>
      </w:r>
      <w:r w:rsidR="00E05852" w:rsidRPr="004E0F02">
        <w:t xml:space="preserve"> danych</w:t>
      </w:r>
      <w:r w:rsidR="00EF28B7" w:rsidRPr="004E0F02">
        <w:t>;</w:t>
      </w:r>
    </w:p>
    <w:p w14:paraId="4D9D349E" w14:textId="72E4BDF7" w:rsidR="00EF28B7" w:rsidRPr="004E0F02" w:rsidRDefault="005A11BE" w:rsidP="00EF28B7">
      <w:pPr>
        <w:pStyle w:val="PKTpunkt"/>
      </w:pPr>
      <w:r w:rsidRPr="004E0F02">
        <w:t>6</w:t>
      </w:r>
      <w:r w:rsidR="00EF28B7" w:rsidRPr="004E0F02">
        <w:t>)</w:t>
      </w:r>
      <w:r w:rsidR="00EF28B7" w:rsidRPr="004E0F02">
        <w:tab/>
        <w:t xml:space="preserve">podejmowanie działań mających na celu podnoszenie świadomości </w:t>
      </w:r>
      <w:r w:rsidR="006D27AA" w:rsidRPr="004E0F02">
        <w:t>pracowników jednostki organizacyjnej,</w:t>
      </w:r>
      <w:r w:rsidR="00E45B1D" w:rsidRPr="004E0F02">
        <w:t xml:space="preserve"> w </w:t>
      </w:r>
      <w:r w:rsidR="006D27AA" w:rsidRPr="004E0F02">
        <w:t xml:space="preserve">której </w:t>
      </w:r>
      <w:r w:rsidR="00AF4109" w:rsidRPr="004E0F02">
        <w:t>został powołany</w:t>
      </w:r>
      <w:r w:rsidR="001A5CCC">
        <w:t>,</w:t>
      </w:r>
      <w:r w:rsidR="006D27AA" w:rsidRPr="004E0F02">
        <w:t xml:space="preserve"> </w:t>
      </w:r>
      <w:r w:rsidR="00EF28B7" w:rsidRPr="004E0F02">
        <w:t>oraz</w:t>
      </w:r>
      <w:r w:rsidR="006D27AA" w:rsidRPr="004E0F02">
        <w:t>,</w:t>
      </w:r>
      <w:r w:rsidR="003F3502" w:rsidRPr="004E0F02">
        <w:t xml:space="preserve"> o </w:t>
      </w:r>
      <w:r w:rsidR="00EF28B7" w:rsidRPr="004E0F02">
        <w:t>ile dotyczy</w:t>
      </w:r>
      <w:r w:rsidR="006D27AA" w:rsidRPr="004E0F02">
        <w:t>,</w:t>
      </w:r>
      <w:r w:rsidR="003F3502" w:rsidRPr="004E0F02">
        <w:t> </w:t>
      </w:r>
      <w:r w:rsidR="006D27AA" w:rsidRPr="004E0F02">
        <w:t xml:space="preserve">pracowników </w:t>
      </w:r>
      <w:r w:rsidR="00EF28B7" w:rsidRPr="004E0F02">
        <w:t>organów</w:t>
      </w:r>
      <w:r w:rsidR="003F3502" w:rsidRPr="004E0F02">
        <w:t xml:space="preserve"> i </w:t>
      </w:r>
      <w:r w:rsidR="00EF28B7" w:rsidRPr="004E0F02">
        <w:t>jednostek organizacyjnych podległych lub nadzorowanych przez właściwego ministra albo Prezesa Rady Ministrów, w zakresie otwartości danych;</w:t>
      </w:r>
    </w:p>
    <w:p w14:paraId="5F7DC541" w14:textId="77777777" w:rsidR="00EF28B7" w:rsidRPr="004E0F02" w:rsidRDefault="00EF28B7" w:rsidP="00EF28B7">
      <w:pPr>
        <w:pStyle w:val="ROZDZODDZOZNoznaczenierozdziauluboddziau"/>
      </w:pPr>
      <w:r w:rsidRPr="004E0F02">
        <w:lastRenderedPageBreak/>
        <w:t>Rozdział 9</w:t>
      </w:r>
    </w:p>
    <w:p w14:paraId="77053D6E" w14:textId="77777777" w:rsidR="00EF28B7" w:rsidRPr="004E0F02" w:rsidRDefault="00EF28B7" w:rsidP="00E45B1D">
      <w:pPr>
        <w:pStyle w:val="ROZDZODDZPRZEDMprzedmiotregulacjirozdziauluboddziau"/>
      </w:pPr>
      <w:r w:rsidRPr="004E0F02">
        <w:t>Ponowne wykorzystywanie informacji sektora publicznego przekazywanych na wniosek</w:t>
      </w:r>
    </w:p>
    <w:p w14:paraId="1F12979B" w14:textId="718EA5D0" w:rsidR="00EF28B7" w:rsidRPr="004E0F02" w:rsidRDefault="00EF28B7" w:rsidP="00E45B1D">
      <w:pPr>
        <w:pStyle w:val="ARTartustawynprozporzdzenia"/>
        <w:keepNext/>
      </w:pPr>
      <w:r w:rsidRPr="004E0F02">
        <w:rPr>
          <w:rStyle w:val="Ppogrubienie"/>
        </w:rPr>
        <w:t>Art. </w:t>
      </w:r>
      <w:r w:rsidR="00225724" w:rsidRPr="004E0F02">
        <w:rPr>
          <w:rStyle w:val="Ppogrubienie"/>
        </w:rPr>
        <w:t>42</w:t>
      </w:r>
      <w:r w:rsidRPr="004E0F02">
        <w:rPr>
          <w:rStyle w:val="Ppogrubienie"/>
        </w:rPr>
        <w:t>.</w:t>
      </w:r>
      <w:r w:rsidRPr="004E0F02">
        <w:t> 1.</w:t>
      </w:r>
      <w:r w:rsidRPr="004E0F02">
        <w:tab/>
        <w:t xml:space="preserve">Wniosek o ponowne wykorzystywanie, zwany dalej </w:t>
      </w:r>
      <w:r w:rsidR="00E45B1D" w:rsidRPr="004E0F02">
        <w:t>„</w:t>
      </w:r>
      <w:r w:rsidRPr="004E0F02">
        <w:t>wnioskiem</w:t>
      </w:r>
      <w:r w:rsidR="00E45B1D" w:rsidRPr="004E0F02">
        <w:t>”</w:t>
      </w:r>
      <w:r w:rsidRPr="004E0F02">
        <w:t>, wnosi się w przypadkach, gdy informacja sektora publicznego:</w:t>
      </w:r>
    </w:p>
    <w:p w14:paraId="274EC57D" w14:textId="087C22FD" w:rsidR="00EF28B7" w:rsidRPr="004E0F02" w:rsidRDefault="00EF28B7" w:rsidP="00EF28B7">
      <w:pPr>
        <w:pStyle w:val="PKTpunkt"/>
      </w:pPr>
      <w:r w:rsidRPr="004E0F02">
        <w:t>1)</w:t>
      </w:r>
      <w:r w:rsidRPr="004E0F02">
        <w:tab/>
        <w:t>nie została udostępniona w Biuletynie Informacji Publicznej lub na portalu danych;</w:t>
      </w:r>
    </w:p>
    <w:p w14:paraId="13FB1E62" w14:textId="7DDF9FA4" w:rsidR="00EF28B7" w:rsidRPr="004E0F02" w:rsidRDefault="00EF28B7" w:rsidP="00EF28B7">
      <w:pPr>
        <w:pStyle w:val="PKTpunkt"/>
      </w:pPr>
      <w:r w:rsidRPr="004E0F02">
        <w:t>2)</w:t>
      </w:r>
      <w:r w:rsidRPr="004E0F02">
        <w:tab/>
        <w:t>została udostępniona w innym systemie teleinformatycznym niż określony</w:t>
      </w:r>
      <w:r w:rsidR="00E45B1D" w:rsidRPr="004E0F02">
        <w:t xml:space="preserve"> w pkt 1 i </w:t>
      </w:r>
      <w:r w:rsidRPr="004E0F02">
        <w:t>nie zostały określone warunki ponownego wykorzystywania lub opłaty za ponowne wykorzystywanie albo nie poinformowano o braku takich warunków lub opłat;</w:t>
      </w:r>
    </w:p>
    <w:p w14:paraId="23C96481" w14:textId="77777777" w:rsidR="00EF28B7" w:rsidRPr="004E0F02" w:rsidRDefault="00EF28B7" w:rsidP="00EF28B7">
      <w:pPr>
        <w:pStyle w:val="PKTpunkt"/>
      </w:pPr>
      <w:r w:rsidRPr="004E0F02">
        <w:t>3)</w:t>
      </w:r>
      <w:r w:rsidRPr="004E0F02">
        <w:tab/>
        <w:t>będzie wykorzystywana na warunkach innych niż zostały dla tej informacji określone;</w:t>
      </w:r>
    </w:p>
    <w:p w14:paraId="0021669C" w14:textId="77777777" w:rsidR="00EF28B7" w:rsidRPr="004E0F02" w:rsidRDefault="00EF28B7" w:rsidP="00EF28B7">
      <w:pPr>
        <w:pStyle w:val="PKTpunkt"/>
      </w:pPr>
      <w:r w:rsidRPr="004E0F02">
        <w:t>4)</w:t>
      </w:r>
      <w:r w:rsidRPr="004E0F02">
        <w:tab/>
        <w:t>została udostępniona lub przekazana na podstawie innych ustaw określających zasady i tryb dostępu do informacji będących informacjami sektora publicznego.</w:t>
      </w:r>
    </w:p>
    <w:p w14:paraId="1C6A1590" w14:textId="1D56F24B" w:rsidR="00EF28B7" w:rsidRPr="004E0F02" w:rsidRDefault="00EF28B7" w:rsidP="00EF28B7">
      <w:pPr>
        <w:pStyle w:val="USTustnpkodeksu"/>
      </w:pPr>
      <w:r w:rsidRPr="004E0F02">
        <w:t>2. Wniosek może dotyczyć umożliwienia ponownego wykorzystywania, w sposób stały i bezpośredni w czasie rzeczywistym, informacji sektora publicznego gromadzonych i przechowywanych w systemie teleinformatycznym podmiotu zobowiązanego.</w:t>
      </w:r>
    </w:p>
    <w:p w14:paraId="2CC9F335" w14:textId="77777777" w:rsidR="00EF28B7" w:rsidRPr="004E0F02" w:rsidRDefault="00EF28B7" w:rsidP="00E45B1D">
      <w:pPr>
        <w:pStyle w:val="USTustnpkodeksu"/>
        <w:keepNext/>
      </w:pPr>
      <w:r w:rsidRPr="004E0F02">
        <w:t>3. Wniosek zawiera w szczególności:</w:t>
      </w:r>
    </w:p>
    <w:p w14:paraId="5A83FB77" w14:textId="77777777" w:rsidR="00EF28B7" w:rsidRPr="004E0F02" w:rsidRDefault="00EF28B7" w:rsidP="00EF28B7">
      <w:pPr>
        <w:pStyle w:val="PKTpunkt"/>
      </w:pPr>
      <w:r w:rsidRPr="004E0F02">
        <w:t>1)</w:t>
      </w:r>
      <w:r w:rsidRPr="004E0F02">
        <w:tab/>
        <w:t>nazwę podmiotu zobowiązanego;</w:t>
      </w:r>
    </w:p>
    <w:p w14:paraId="1452DB73" w14:textId="77777777" w:rsidR="00EF28B7" w:rsidRPr="004E0F02" w:rsidRDefault="00EF28B7" w:rsidP="00EF28B7">
      <w:pPr>
        <w:pStyle w:val="PKTpunkt"/>
      </w:pPr>
      <w:r w:rsidRPr="004E0F02">
        <w:t>2)</w:t>
      </w:r>
      <w:r w:rsidRPr="004E0F02">
        <w:tab/>
        <w:t>informacje o wnioskodawcy, w tym imię i nazwisko albo nazwę oraz adres umożliwiający dostarczenie odpowiedzi do wnioskodawcy albo pełnomocnika tego wnioskodawcy w sposób lub w formie wskazanych we wniosku;</w:t>
      </w:r>
    </w:p>
    <w:p w14:paraId="49B98EBD" w14:textId="77777777" w:rsidR="00EF28B7" w:rsidRPr="004E0F02" w:rsidRDefault="00EF28B7" w:rsidP="00EF28B7">
      <w:pPr>
        <w:pStyle w:val="PKTpunkt"/>
      </w:pPr>
      <w:r w:rsidRPr="004E0F02">
        <w:t>3)</w:t>
      </w:r>
      <w:r w:rsidRPr="004E0F02">
        <w:tab/>
        <w:t>wskazanie informacji sektora publicznego, która będzie ponownie wykorzystywana, a jeżeli jest już udostępniona lub przekazana, warunki, na jakich ma być ponownie wykorzystywana, oraz źródło udostępnienia lub przekazania;</w:t>
      </w:r>
    </w:p>
    <w:p w14:paraId="6EA5B8D5" w14:textId="77777777" w:rsidR="00EF28B7" w:rsidRPr="004E0F02" w:rsidRDefault="00EF28B7" w:rsidP="00EF28B7">
      <w:pPr>
        <w:pStyle w:val="PKTpunkt"/>
      </w:pPr>
      <w:r w:rsidRPr="004E0F02">
        <w:t>4)</w:t>
      </w:r>
      <w:r w:rsidRPr="004E0F02">
        <w:tab/>
        <w:t>wskazanie celu ponownego wykorzystywania, w tym określenie rodzaju działalności, w której informacje sektora publicznego będą ponownie wykorzystywane, w szczególności wskazanie dóbr, produktów lub usług;</w:t>
      </w:r>
    </w:p>
    <w:p w14:paraId="66B0AADA" w14:textId="77777777" w:rsidR="00EF28B7" w:rsidRPr="004E0F02" w:rsidRDefault="00EF28B7" w:rsidP="00EF28B7">
      <w:pPr>
        <w:pStyle w:val="PKTpunkt"/>
      </w:pPr>
      <w:r w:rsidRPr="004E0F02">
        <w:t>5)</w:t>
      </w:r>
      <w:r w:rsidRPr="004E0F02">
        <w:tab/>
        <w:t>wskazanie formy przygotowania informacji sektora publicznego, a w przypadku postaci elektronicznej, także wskazanie formatu danych;</w:t>
      </w:r>
    </w:p>
    <w:p w14:paraId="2297678E" w14:textId="553267FC" w:rsidR="00EF28B7" w:rsidRPr="004E0F02" w:rsidRDefault="00EF28B7" w:rsidP="00EF28B7">
      <w:pPr>
        <w:pStyle w:val="PKTpunkt"/>
      </w:pPr>
      <w:r w:rsidRPr="004E0F02">
        <w:t>6)</w:t>
      </w:r>
      <w:r w:rsidRPr="004E0F02">
        <w:tab/>
        <w:t>wskazanie sposobu przekazania informacji sektora publicznego, o ile nie została udostępniona lub przekazana w inny sposób, albo sposobu dostępu do informacji gromadzonych w systemie teleinformatycznym, o którym mowa</w:t>
      </w:r>
      <w:r w:rsidR="00E45B1D" w:rsidRPr="004E0F02">
        <w:t xml:space="preserve"> w ust. </w:t>
      </w:r>
      <w:r w:rsidRPr="004E0F02">
        <w:t>2.</w:t>
      </w:r>
    </w:p>
    <w:p w14:paraId="256C7DD1" w14:textId="3E4F1D58" w:rsidR="00EF28B7" w:rsidRPr="004E0F02" w:rsidRDefault="00EF28B7" w:rsidP="00EF28B7">
      <w:pPr>
        <w:pStyle w:val="USTustnpkodeksu"/>
      </w:pPr>
      <w:r w:rsidRPr="004E0F02">
        <w:lastRenderedPageBreak/>
        <w:t>4. Wniosek, o którym mowa</w:t>
      </w:r>
      <w:r w:rsidR="00E45B1D" w:rsidRPr="004E0F02">
        <w:t xml:space="preserve"> w ust. </w:t>
      </w:r>
      <w:r w:rsidRPr="004E0F02">
        <w:t>2, zawiera także wskazanie okresu, przez który podmiot zobowiązany będzie umożliwiał ponowne wykorzystywanie informacji sektora publicznego w sposób stały i bezpośredni w czasie rzeczywistym.</w:t>
      </w:r>
    </w:p>
    <w:p w14:paraId="4E237C7D" w14:textId="77777777" w:rsidR="00EF28B7" w:rsidRPr="004E0F02" w:rsidRDefault="00EF28B7" w:rsidP="00EF28B7">
      <w:pPr>
        <w:pStyle w:val="USTustnpkodeksu"/>
      </w:pPr>
      <w:r w:rsidRPr="004E0F02">
        <w:t>5. Wniosek wnosi się w postaci papierowej albo elektronicznej.</w:t>
      </w:r>
    </w:p>
    <w:p w14:paraId="426B9EC7" w14:textId="77777777" w:rsidR="00EF28B7" w:rsidRPr="004E0F02" w:rsidRDefault="00EF28B7" w:rsidP="00EF28B7">
      <w:pPr>
        <w:pStyle w:val="USTustnpkodeksu"/>
      </w:pPr>
      <w:r w:rsidRPr="004E0F02">
        <w:t>6.</w:t>
      </w:r>
      <w:r w:rsidR="003F3502" w:rsidRPr="004E0F02">
        <w:t> W </w:t>
      </w:r>
      <w:r w:rsidRPr="004E0F02">
        <w:t>przypadku niespełnienia warunków formalnych wniosku wzywa się wnioskodawcę do usunięcia braków formalnych, wraz z pouczeniem, że ich nieusunięcie w terminie 7 dni od dnia otrzymania wezwania spowoduje pozostawienie wniosku bez rozpoznania.</w:t>
      </w:r>
    </w:p>
    <w:p w14:paraId="35B70A31" w14:textId="2B99EB6F" w:rsidR="00EF28B7" w:rsidRPr="004E0F02" w:rsidRDefault="00EF28B7" w:rsidP="00EF28B7">
      <w:pPr>
        <w:pStyle w:val="ARTartustawynprozporzdzenia"/>
      </w:pPr>
      <w:r w:rsidRPr="004E0F02">
        <w:rPr>
          <w:rStyle w:val="Ppogrubienie"/>
        </w:rPr>
        <w:t>Art. </w:t>
      </w:r>
      <w:r w:rsidR="00AD4CAB" w:rsidRPr="004E0F02">
        <w:rPr>
          <w:rStyle w:val="Ppogrubienie"/>
        </w:rPr>
        <w:t>4</w:t>
      </w:r>
      <w:r w:rsidR="00225724" w:rsidRPr="004E0F02">
        <w:rPr>
          <w:rStyle w:val="Ppogrubienie"/>
        </w:rPr>
        <w:t>3</w:t>
      </w:r>
      <w:r w:rsidRPr="004E0F02">
        <w:rPr>
          <w:rStyle w:val="Ppogrubienie"/>
        </w:rPr>
        <w:t>.</w:t>
      </w:r>
      <w:r w:rsidRPr="004E0F02">
        <w:t> 1.</w:t>
      </w:r>
      <w:r w:rsidRPr="004E0F02">
        <w:tab/>
        <w:t xml:space="preserve"> Rozpatrzenie wniosku następuje niezwłocznie, nie później jednak niż w terminie 14 dni od dnia otrzymania wniosku.</w:t>
      </w:r>
    </w:p>
    <w:p w14:paraId="4A0EC1BB" w14:textId="77777777" w:rsidR="00EF28B7" w:rsidRPr="004E0F02" w:rsidRDefault="00EF28B7" w:rsidP="00EF28B7">
      <w:pPr>
        <w:pStyle w:val="USTustnpkodeksu"/>
      </w:pPr>
      <w:r w:rsidRPr="004E0F02">
        <w:t>2. Jeżeli wniosek o ponowne wykorzystywanie nie może zostać rozpatrzony w terminie 14 dni, podmiot zobowiązany zawiadamia w tym terminie wnioskodawcę o przyczynach opóźnienia oraz o terminie, w jakim rozpatrzy wniosek, nie dłuższym jednak niż 2 miesiące od dnia złożenia tego wniosku.</w:t>
      </w:r>
    </w:p>
    <w:p w14:paraId="332B0B29" w14:textId="3503E66E" w:rsidR="00EF28B7" w:rsidRPr="004E0F02" w:rsidRDefault="00EF28B7" w:rsidP="00E45B1D">
      <w:pPr>
        <w:pStyle w:val="ARTartustawynprozporzdzenia"/>
        <w:keepNext/>
      </w:pPr>
      <w:r w:rsidRPr="004E0F02">
        <w:rPr>
          <w:rStyle w:val="Ppogrubienie"/>
        </w:rPr>
        <w:t>Art. </w:t>
      </w:r>
      <w:r w:rsidR="00AD4CAB" w:rsidRPr="004E0F02">
        <w:rPr>
          <w:rStyle w:val="Ppogrubienie"/>
        </w:rPr>
        <w:t>4</w:t>
      </w:r>
      <w:r w:rsidR="00225724" w:rsidRPr="004E0F02">
        <w:rPr>
          <w:rStyle w:val="Ppogrubienie"/>
        </w:rPr>
        <w:t>4</w:t>
      </w:r>
      <w:r w:rsidRPr="004E0F02">
        <w:rPr>
          <w:rStyle w:val="Ppogrubienie"/>
        </w:rPr>
        <w:t>.</w:t>
      </w:r>
      <w:r w:rsidRPr="004E0F02">
        <w:t> 1. Podmiot zobowiązany po rozpatrzeniu wniosku, z wyjątkiem wniosku, o którym mowa</w:t>
      </w:r>
      <w:r w:rsidR="00E45B1D" w:rsidRPr="004E0F02">
        <w:t xml:space="preserve"> w art. </w:t>
      </w:r>
      <w:r w:rsidR="000C3465" w:rsidRPr="004E0F02">
        <w:t xml:space="preserve">42 </w:t>
      </w:r>
      <w:r w:rsidR="00E45B1D" w:rsidRPr="004E0F02">
        <w:t>ust. </w:t>
      </w:r>
      <w:r w:rsidRPr="004E0F02">
        <w:t>2:</w:t>
      </w:r>
    </w:p>
    <w:p w14:paraId="1557F0C6" w14:textId="77777777" w:rsidR="00EF28B7" w:rsidRPr="004E0F02" w:rsidRDefault="00EF28B7" w:rsidP="00EF28B7">
      <w:pPr>
        <w:pStyle w:val="PKTpunkt"/>
      </w:pPr>
      <w:r w:rsidRPr="004E0F02">
        <w:t>1)</w:t>
      </w:r>
      <w:r w:rsidRPr="004E0F02">
        <w:tab/>
        <w:t>przekazuje informację sektora publicznego w celu ponownego wykorzystywania bez określania warunków ponownego wykorzystywania;</w:t>
      </w:r>
    </w:p>
    <w:p w14:paraId="5647A522" w14:textId="5E4BC2A1" w:rsidR="00135FE2" w:rsidRPr="004E0F02" w:rsidRDefault="00135FE2" w:rsidP="00EF28B7">
      <w:pPr>
        <w:pStyle w:val="PKTpunkt"/>
      </w:pPr>
      <w:r w:rsidRPr="004E0F02">
        <w:t>2)</w:t>
      </w:r>
      <w:r w:rsidRPr="004E0F02">
        <w:tab/>
        <w:t>informuje o braku informacji sektora publicznego wskazanej we wniosku;</w:t>
      </w:r>
    </w:p>
    <w:p w14:paraId="14DCC0C3" w14:textId="71ABEA04" w:rsidR="00DF64AA" w:rsidRPr="004E0F02" w:rsidRDefault="00135FE2" w:rsidP="00EF28B7">
      <w:pPr>
        <w:pStyle w:val="PKTpunkt"/>
      </w:pPr>
      <w:r w:rsidRPr="004E0F02">
        <w:t>3</w:t>
      </w:r>
      <w:r w:rsidR="00EF28B7" w:rsidRPr="004E0F02">
        <w:t>)</w:t>
      </w:r>
      <w:r w:rsidR="00EF28B7" w:rsidRPr="004E0F02">
        <w:tab/>
        <w:t>informuje o braku warunków ponownego wykorzystywania w przypadku posiadania informacji sektora publicznego przez wnioskodawcę;</w:t>
      </w:r>
    </w:p>
    <w:p w14:paraId="03ED0267" w14:textId="6B3D9668" w:rsidR="00EF28B7" w:rsidRPr="004E0F02" w:rsidRDefault="00FB03EC" w:rsidP="00EF28B7">
      <w:pPr>
        <w:pStyle w:val="PKTpunkt"/>
      </w:pPr>
      <w:r w:rsidRPr="004E0F02">
        <w:t>4</w:t>
      </w:r>
      <w:r w:rsidR="00EF28B7" w:rsidRPr="004E0F02">
        <w:t>)</w:t>
      </w:r>
      <w:r w:rsidR="00EF28B7" w:rsidRPr="004E0F02">
        <w:tab/>
        <w:t>składa ofertę zawierającą warunki ponownego wykorzystywania lub informację o wysokości opłat za ponowne wykorzystywanie</w:t>
      </w:r>
      <w:r w:rsidR="00E05852" w:rsidRPr="004E0F02">
        <w:t xml:space="preserve"> lub </w:t>
      </w:r>
      <w:r w:rsidRPr="004E0F02">
        <w:t xml:space="preserve">w przypadku, o którym mowa w art. 10 ust. </w:t>
      </w:r>
      <w:r w:rsidR="000C3465" w:rsidRPr="004E0F02">
        <w:t>4</w:t>
      </w:r>
      <w:r w:rsidRPr="004E0F02">
        <w:t xml:space="preserve">, </w:t>
      </w:r>
      <w:r w:rsidR="00E05852" w:rsidRPr="004E0F02">
        <w:t>informację o</w:t>
      </w:r>
      <w:r w:rsidR="00646498" w:rsidRPr="004E0F02">
        <w:t xml:space="preserve"> przyczynach braku możliwości przekazania informacji sektora publicznego</w:t>
      </w:r>
      <w:r w:rsidRPr="004E0F02">
        <w:t xml:space="preserve"> </w:t>
      </w:r>
      <w:r w:rsidR="00646498" w:rsidRPr="004E0F02">
        <w:t>i wskaz</w:t>
      </w:r>
      <w:r w:rsidRPr="004E0F02">
        <w:t xml:space="preserve">anie </w:t>
      </w:r>
      <w:r w:rsidR="00646498" w:rsidRPr="004E0F02">
        <w:t>w jaki sposób lub w jakiej formie informacja sektora publicznego może zostać przekazana</w:t>
      </w:r>
      <w:r w:rsidR="00EF28B7" w:rsidRPr="004E0F02">
        <w:t>;</w:t>
      </w:r>
    </w:p>
    <w:p w14:paraId="5050303D" w14:textId="34C016D5" w:rsidR="00DF64AA" w:rsidRPr="004E0F02" w:rsidRDefault="00FB03EC" w:rsidP="00064F61">
      <w:pPr>
        <w:pStyle w:val="PKTpunkt"/>
      </w:pPr>
      <w:r w:rsidRPr="004E0F02">
        <w:t>5</w:t>
      </w:r>
      <w:r w:rsidR="00EF28B7" w:rsidRPr="004E0F02">
        <w:t>)</w:t>
      </w:r>
      <w:r w:rsidR="00EF28B7" w:rsidRPr="004E0F02">
        <w:tab/>
        <w:t>odmawia, w drodze decyzji, wyrażenia zgody na ponowne wykorzystywanie informacji sektora publicznego.</w:t>
      </w:r>
    </w:p>
    <w:p w14:paraId="4E4C0721" w14:textId="059547AA" w:rsidR="0004078C" w:rsidRPr="004E0F02" w:rsidRDefault="00EF28B7" w:rsidP="00EF28B7">
      <w:pPr>
        <w:pStyle w:val="USTustnpkodeksu"/>
      </w:pPr>
      <w:r w:rsidRPr="004E0F02">
        <w:t>2. Wnioskodawca, który otrzymał ofertę, o której mowa</w:t>
      </w:r>
      <w:r w:rsidR="00E45B1D" w:rsidRPr="004E0F02">
        <w:t xml:space="preserve"> w ust. 1 pkt </w:t>
      </w:r>
      <w:r w:rsidR="00FB03EC" w:rsidRPr="004E0F02">
        <w:t>4</w:t>
      </w:r>
      <w:r w:rsidRPr="004E0F02">
        <w:t xml:space="preserve"> może w terminie 14 dni od dnia otrzymania oferty złożyć sprzeciw z powodu naruszenia przepisów ustawy albo zawiadomić podmiot zobowiązany o przyjęciu oferty. Brak zawiadomienia o przyjęciu oferty w terminie 14 dni od dnia otrzymania oferty jest równoznaczny z wycofaniem wniosku.</w:t>
      </w:r>
    </w:p>
    <w:p w14:paraId="02D4B53E" w14:textId="7331B9BC" w:rsidR="00EF28B7" w:rsidRPr="004E0F02" w:rsidRDefault="00EF28B7" w:rsidP="00EF28B7">
      <w:pPr>
        <w:pStyle w:val="USTustnpkodeksu"/>
      </w:pPr>
      <w:r w:rsidRPr="004E0F02">
        <w:lastRenderedPageBreak/>
        <w:t>3. W przypadku otrzymania sprzeciwu podmiot zobowiązany, w drodze decyzji, rozstrzyga o warunkach ponownego wykorzystywania lub o wysokości opłat za ponowne wykorzystywanie</w:t>
      </w:r>
      <w:r w:rsidR="00FB03EC" w:rsidRPr="004E0F02">
        <w:t xml:space="preserve"> lub w przypadku, o którym mowa w art. 10 ust. </w:t>
      </w:r>
      <w:r w:rsidR="000C3465" w:rsidRPr="004E0F02">
        <w:t>4</w:t>
      </w:r>
      <w:r w:rsidR="00FB03EC" w:rsidRPr="004E0F02">
        <w:t>, odmawia  wyrażenia zgody na ponowne wykorzystywanie informacji sektora publicznego</w:t>
      </w:r>
      <w:r w:rsidRPr="004E0F02">
        <w:t>.</w:t>
      </w:r>
    </w:p>
    <w:p w14:paraId="3539B4E3" w14:textId="46738333" w:rsidR="00EF28B7" w:rsidRPr="004E0F02" w:rsidRDefault="00EF28B7" w:rsidP="00EF28B7">
      <w:pPr>
        <w:pStyle w:val="USTustnpkodeksu"/>
      </w:pPr>
      <w:r w:rsidRPr="004E0F02">
        <w:t>4. Podmiot zobowiązany, w drodze decyzji, odmawia wyrażenia zgody na ponowne wykorzystywanie informacji sektora publicznego, w przypadku gdy prawo do ponownego wykorzystywania podlega ograniczeniom, o których mowa</w:t>
      </w:r>
      <w:r w:rsidR="00E45B1D" w:rsidRPr="004E0F02">
        <w:t xml:space="preserve"> w art. </w:t>
      </w:r>
      <w:r w:rsidRPr="004E0F02">
        <w:t>6.</w:t>
      </w:r>
    </w:p>
    <w:p w14:paraId="1C0CC3A4" w14:textId="2A44A148" w:rsidR="00EF28B7" w:rsidRPr="004E0F02" w:rsidRDefault="00FB03EC" w:rsidP="00EF28B7">
      <w:pPr>
        <w:pStyle w:val="USTustnpkodeksu"/>
      </w:pPr>
      <w:r w:rsidRPr="004E0F02">
        <w:t>5</w:t>
      </w:r>
      <w:r w:rsidR="00EF28B7" w:rsidRPr="004E0F02">
        <w:t xml:space="preserve">. W przypadku odmowy wyrażenia zgody na ponowne wykorzystywanie informacji sektora publicznego ze względu na prawa autorskie i prawa pokrewne w rozumieniu przepisów ustawy z dnia 4 lutego 1994 r. o prawie autorskim i prawach pokrewnych, prawa do baz danych w rozumieniu przepisów ustawy z dnia 27 lipca 2001 r. o ochronie baz danych </w:t>
      </w:r>
      <w:r w:rsidRPr="004E0F02">
        <w:t xml:space="preserve">lub </w:t>
      </w:r>
      <w:r w:rsidR="00EF28B7" w:rsidRPr="004E0F02">
        <w:t>prawa do odmian roślin w rozumieniu przepisów ustawy z dnia 26 czerwca 2003 r. o ochronie prawnej odmian roślin, przysługujące podmiotom</w:t>
      </w:r>
      <w:r w:rsidR="008E2074" w:rsidRPr="004E0F02">
        <w:t xml:space="preserve"> innym niż podmioty zobowiązane </w:t>
      </w:r>
      <w:r w:rsidR="00355C1B" w:rsidRPr="004E0F02">
        <w:t>albo ze względu na objęcie informacji sektora publicznego prawami własności przemysłowej w rozumieniu przepisów ustawy z dnia 30 czerwca 2000 r. – Prawo własności przemysłowej lub prawami własności przemysłowej podlegających ochronie na podstawie umów międzynarodowych lub przepisów prawa Unii Europejskiej,</w:t>
      </w:r>
      <w:r w:rsidR="00EF28B7" w:rsidRPr="004E0F02">
        <w:t xml:space="preserve"> podmiot zobowiązany wskazuje osobę fizyczną, osobę prawną lub jednostkę organizacyjną nieposiadającą osobowości prawnej, która posiada prawa, jeżeli jest znana, albo licencjodawcę, od którego podmiot zobowiązany uzyskał dany przedmiot praw. Przepisu nie stosuje się do muzeów państwowych, muzeów samorządowych, bibliotek publicznych, bibliotek naukowych oraz archiwów.</w:t>
      </w:r>
    </w:p>
    <w:p w14:paraId="30BA2387" w14:textId="1F141697" w:rsidR="00EF28B7" w:rsidRPr="004E0F02" w:rsidRDefault="00EF28B7" w:rsidP="00E45B1D">
      <w:pPr>
        <w:pStyle w:val="ARTartustawynprozporzdzenia"/>
        <w:keepNext/>
      </w:pPr>
      <w:r w:rsidRPr="004E0F02">
        <w:rPr>
          <w:rStyle w:val="Ppogrubienie"/>
        </w:rPr>
        <w:t>Art. </w:t>
      </w:r>
      <w:r w:rsidR="00AD4CAB" w:rsidRPr="004E0F02">
        <w:rPr>
          <w:rStyle w:val="Ppogrubienie"/>
        </w:rPr>
        <w:t>4</w:t>
      </w:r>
      <w:r w:rsidR="00225724" w:rsidRPr="004E0F02">
        <w:rPr>
          <w:rStyle w:val="Ppogrubienie"/>
        </w:rPr>
        <w:t>5</w:t>
      </w:r>
      <w:r w:rsidRPr="004E0F02">
        <w:rPr>
          <w:rStyle w:val="Ppogrubienie"/>
        </w:rPr>
        <w:t>.</w:t>
      </w:r>
      <w:r w:rsidRPr="004E0F02">
        <w:t> 1.</w:t>
      </w:r>
      <w:r w:rsidRPr="004E0F02">
        <w:tab/>
        <w:t>Podmiot zobowiązany po rozpatrzeniu wniosku, o którym mowa</w:t>
      </w:r>
      <w:r w:rsidR="00E45B1D" w:rsidRPr="004E0F02">
        <w:t xml:space="preserve"> w art. </w:t>
      </w:r>
      <w:r w:rsidR="000C3465" w:rsidRPr="004E0F02">
        <w:t xml:space="preserve">42 </w:t>
      </w:r>
      <w:r w:rsidR="00E45B1D" w:rsidRPr="004E0F02">
        <w:t>ust. </w:t>
      </w:r>
      <w:r w:rsidRPr="004E0F02">
        <w:t>2:</w:t>
      </w:r>
    </w:p>
    <w:p w14:paraId="6FF1BE51" w14:textId="77777777" w:rsidR="00EF28B7" w:rsidRPr="004E0F02" w:rsidRDefault="00EF28B7" w:rsidP="00EF28B7">
      <w:pPr>
        <w:pStyle w:val="PKTpunkt"/>
      </w:pPr>
      <w:r w:rsidRPr="004E0F02">
        <w:t>1)</w:t>
      </w:r>
      <w:r w:rsidRPr="004E0F02">
        <w:tab/>
        <w:t xml:space="preserve">składa ofertę zawierającą warunki ponownego wykorzystywania lub informację o wysokości opłat za ponowne wykorzystywanie </w:t>
      </w:r>
      <w:r w:rsidR="00073ACE" w:rsidRPr="004E0F02">
        <w:t xml:space="preserve">oraz informacje dotyczące dostępności informacji sektora publicznego, </w:t>
      </w:r>
      <w:r w:rsidRPr="004E0F02">
        <w:t>przy czym od oferty nie przysługuje sprzeciw;</w:t>
      </w:r>
    </w:p>
    <w:p w14:paraId="281F262F" w14:textId="5B4A8E76" w:rsidR="00EF28B7" w:rsidRPr="004E0F02" w:rsidRDefault="00EF28B7" w:rsidP="00EF28B7">
      <w:pPr>
        <w:pStyle w:val="PKTpunkt"/>
      </w:pPr>
      <w:r w:rsidRPr="004E0F02">
        <w:t>2)</w:t>
      </w:r>
      <w:r w:rsidRPr="004E0F02">
        <w:tab/>
        <w:t>informuje o braku możliwości ponownego wykorzystywania w sposób wskazany we wniosku</w:t>
      </w:r>
      <w:r w:rsidR="00EF3969" w:rsidRPr="004E0F02">
        <w:t xml:space="preserve"> lub ze względu na format w jakim informacje sektora publicznego miałyby zostać udostępnione</w:t>
      </w:r>
      <w:r w:rsidRPr="004E0F02">
        <w:t>;</w:t>
      </w:r>
    </w:p>
    <w:p w14:paraId="4E089D2F" w14:textId="30D22F08" w:rsidR="00EF28B7" w:rsidRPr="004E0F02" w:rsidRDefault="00EF28B7" w:rsidP="00EF28B7">
      <w:pPr>
        <w:pStyle w:val="PKTpunkt"/>
      </w:pPr>
      <w:r w:rsidRPr="004E0F02">
        <w:t>3)</w:t>
      </w:r>
      <w:r w:rsidRPr="004E0F02">
        <w:tab/>
        <w:t>odmawia, w drodze decyzji, wyrażenia zgody na ponowne wykorzystywanie informacji sektora publicznego; przepisy</w:t>
      </w:r>
      <w:r w:rsidR="00E45B1D" w:rsidRPr="004E0F02">
        <w:t xml:space="preserve"> art. </w:t>
      </w:r>
      <w:r w:rsidR="000C3465" w:rsidRPr="004E0F02">
        <w:t xml:space="preserve">44 </w:t>
      </w:r>
      <w:r w:rsidR="00E45B1D" w:rsidRPr="004E0F02">
        <w:t>ust. 4 i </w:t>
      </w:r>
      <w:r w:rsidR="00064F61" w:rsidRPr="004E0F02">
        <w:t>5</w:t>
      </w:r>
      <w:r w:rsidRPr="004E0F02">
        <w:t> stosuje się.</w:t>
      </w:r>
    </w:p>
    <w:p w14:paraId="3B82F22F" w14:textId="2DC3FC66" w:rsidR="00EF28B7" w:rsidRPr="004E0F02" w:rsidRDefault="00EF28B7" w:rsidP="00EF28B7">
      <w:pPr>
        <w:pStyle w:val="USTustnpkodeksu"/>
      </w:pPr>
      <w:r w:rsidRPr="004E0F02">
        <w:t>2. Wnioskodawca w terminie 14 dni od dnia otrzymania oferty zawiadamia podmiot zobowiązany o przyjęciu oferty. Przepis</w:t>
      </w:r>
      <w:r w:rsidR="00E45B1D" w:rsidRPr="004E0F02">
        <w:t xml:space="preserve"> art. </w:t>
      </w:r>
      <w:r w:rsidR="000C3465" w:rsidRPr="004E0F02">
        <w:t xml:space="preserve">44 </w:t>
      </w:r>
      <w:r w:rsidR="00E45B1D" w:rsidRPr="004E0F02">
        <w:t>ust. 2 zdanie</w:t>
      </w:r>
      <w:r w:rsidRPr="004E0F02">
        <w:t xml:space="preserve"> drugie stosuje się.</w:t>
      </w:r>
    </w:p>
    <w:p w14:paraId="2991D44F" w14:textId="52B6AE98" w:rsidR="00EF28B7" w:rsidRPr="004E0F02" w:rsidRDefault="00EF28B7" w:rsidP="00EF28B7">
      <w:pPr>
        <w:pStyle w:val="ARTartustawynprozporzdzenia"/>
      </w:pPr>
      <w:r w:rsidRPr="004E0F02">
        <w:rPr>
          <w:rStyle w:val="Ppogrubienie"/>
        </w:rPr>
        <w:lastRenderedPageBreak/>
        <w:t>Art. </w:t>
      </w:r>
      <w:r w:rsidR="00AD4CAB" w:rsidRPr="004E0F02">
        <w:rPr>
          <w:rStyle w:val="Ppogrubienie"/>
        </w:rPr>
        <w:t>4</w:t>
      </w:r>
      <w:r w:rsidR="00225724" w:rsidRPr="004E0F02">
        <w:rPr>
          <w:rStyle w:val="Ppogrubienie"/>
        </w:rPr>
        <w:t>6</w:t>
      </w:r>
      <w:r w:rsidRPr="004E0F02">
        <w:rPr>
          <w:rStyle w:val="Ppogrubienie"/>
        </w:rPr>
        <w:t>.</w:t>
      </w:r>
      <w:r w:rsidRPr="004E0F02">
        <w:t> 1. Organem odwoławczym od decyzji</w:t>
      </w:r>
      <w:r w:rsidR="003F3502" w:rsidRPr="004E0F02">
        <w:t xml:space="preserve"> o </w:t>
      </w:r>
      <w:r w:rsidRPr="004E0F02">
        <w:t>odmowie wyrażenia zgody na ponowne wykorzystywanie informacji sektora publicznego oraz od decyzji</w:t>
      </w:r>
      <w:r w:rsidR="003F3502" w:rsidRPr="004E0F02">
        <w:t xml:space="preserve"> o </w:t>
      </w:r>
      <w:r w:rsidRPr="004E0F02">
        <w:t>warunkach ponownego wykorzystywania lub</w:t>
      </w:r>
      <w:r w:rsidR="003F3502" w:rsidRPr="004E0F02">
        <w:t xml:space="preserve"> o </w:t>
      </w:r>
      <w:r w:rsidRPr="004E0F02">
        <w:t>wysokości opłat za ponowne wykorzystywanie jest minister właściwy do spraw informatyzacji.</w:t>
      </w:r>
      <w:r w:rsidR="000E4B7C" w:rsidRPr="004E0F02">
        <w:t xml:space="preserve"> Przepis art. 127 § </w:t>
      </w:r>
      <w:r w:rsidR="00DC7F90" w:rsidRPr="004E0F02">
        <w:t>3 ustawy z dnia 14 czerwca 1960 </w:t>
      </w:r>
      <w:r w:rsidR="000E4B7C" w:rsidRPr="004E0F02">
        <w:t>r. – Kodeks postępowania administracyjnego (Dz. U. z 2020 r. poz. 256, 695 i 1298) stosuje się.</w:t>
      </w:r>
    </w:p>
    <w:p w14:paraId="5A8AAF5E" w14:textId="53472811" w:rsidR="00EF28B7" w:rsidRPr="004E0F02" w:rsidRDefault="00EF28B7" w:rsidP="00EF28B7">
      <w:pPr>
        <w:pStyle w:val="USTustnpkodeksu"/>
      </w:pPr>
      <w:r w:rsidRPr="004E0F02">
        <w:t xml:space="preserve">2. W zakresie nieuregulowanym ustawą do decyzji o odmowie wyrażenia zgody na ponowne wykorzystywanie informacji sektora publicznego oraz do decyzji o warunkach ponownego wykorzystywania lub o wysokości opłat za ponowne wykorzystywanie stosuje się przepisy ustawy z dnia 14 czerwca 1960 r. </w:t>
      </w:r>
      <w:r w:rsidR="00DD6B74" w:rsidRPr="004E0F02">
        <w:t>–</w:t>
      </w:r>
      <w:r w:rsidR="003F3502" w:rsidRPr="004E0F02">
        <w:t xml:space="preserve"> </w:t>
      </w:r>
      <w:r w:rsidRPr="004E0F02">
        <w:t>Kodeks postępowania administracyjnego.</w:t>
      </w:r>
    </w:p>
    <w:p w14:paraId="15768CBB" w14:textId="363C304B" w:rsidR="00EF28B7" w:rsidRPr="004E0F02" w:rsidRDefault="00EF28B7" w:rsidP="00E45B1D">
      <w:pPr>
        <w:pStyle w:val="USTustnpkodeksu"/>
        <w:keepNext/>
      </w:pPr>
      <w:r w:rsidRPr="004E0F02">
        <w:t xml:space="preserve">3. Do skarg rozpatrywanych w postępowaniach o ponowne wykorzystywanie stosuje się przepisy ustawy z dnia 30 sierpnia 2002 r. </w:t>
      </w:r>
      <w:r w:rsidR="00DD6B74" w:rsidRPr="004E0F02">
        <w:t>–</w:t>
      </w:r>
      <w:r w:rsidR="003F3502" w:rsidRPr="004E0F02">
        <w:t xml:space="preserve"> </w:t>
      </w:r>
      <w:r w:rsidRPr="004E0F02">
        <w:t>Prawo o postępowaniu przed sądami administracyjnymi (</w:t>
      </w:r>
      <w:r w:rsidR="00E45B1D" w:rsidRPr="004E0F02">
        <w:t>Dz. U.</w:t>
      </w:r>
      <w:r w:rsidRPr="004E0F02">
        <w:t xml:space="preserve"> z 2019 r.</w:t>
      </w:r>
      <w:r w:rsidR="00E45B1D" w:rsidRPr="004E0F02">
        <w:t xml:space="preserve"> poz. </w:t>
      </w:r>
      <w:r w:rsidRPr="004E0F02">
        <w:t>2325), z tym że:</w:t>
      </w:r>
    </w:p>
    <w:p w14:paraId="0001A4C6" w14:textId="77777777" w:rsidR="00EF28B7" w:rsidRPr="004E0F02" w:rsidRDefault="00EF28B7" w:rsidP="00EF28B7">
      <w:pPr>
        <w:pStyle w:val="PKTpunkt"/>
      </w:pPr>
      <w:r w:rsidRPr="004E0F02">
        <w:t>1)</w:t>
      </w:r>
      <w:r w:rsidRPr="004E0F02">
        <w:tab/>
        <w:t>przekazanie akt i odpowiedzi na skargę następuje w terminie 15 dni od dnia otrzymania skargi;</w:t>
      </w:r>
    </w:p>
    <w:p w14:paraId="5A1AF44E" w14:textId="77777777" w:rsidR="00EF28B7" w:rsidRPr="004E0F02" w:rsidRDefault="00EF28B7" w:rsidP="00EF28B7">
      <w:pPr>
        <w:pStyle w:val="PKTpunkt"/>
      </w:pPr>
      <w:r w:rsidRPr="004E0F02">
        <w:t>2)</w:t>
      </w:r>
      <w:r w:rsidRPr="004E0F02">
        <w:tab/>
        <w:t>skargę rozpatruje się w terminie 30 dni od dnia otrzymania akt wraz z odpowiedzią na skargę.</w:t>
      </w:r>
    </w:p>
    <w:p w14:paraId="571B2CE7" w14:textId="6BD90278" w:rsidR="00EF28B7" w:rsidRPr="004E0F02" w:rsidRDefault="00EF28B7" w:rsidP="00EF28B7">
      <w:pPr>
        <w:pStyle w:val="ARTartustawynprozporzdzenia"/>
      </w:pPr>
      <w:r w:rsidRPr="004E0F02">
        <w:rPr>
          <w:rStyle w:val="Ppogrubienie"/>
        </w:rPr>
        <w:t>Art. </w:t>
      </w:r>
      <w:r w:rsidR="00AD4CAB" w:rsidRPr="004E0F02">
        <w:rPr>
          <w:rStyle w:val="Ppogrubienie"/>
        </w:rPr>
        <w:t>4</w:t>
      </w:r>
      <w:r w:rsidR="00225724" w:rsidRPr="004E0F02">
        <w:rPr>
          <w:rStyle w:val="Ppogrubienie"/>
        </w:rPr>
        <w:t>7</w:t>
      </w:r>
      <w:r w:rsidRPr="004E0F02">
        <w:rPr>
          <w:rStyle w:val="Ppogrubienie"/>
        </w:rPr>
        <w:t>.</w:t>
      </w:r>
      <w:r w:rsidRPr="004E0F02">
        <w:t> 1.</w:t>
      </w:r>
      <w:r w:rsidRPr="004E0F02">
        <w:tab/>
      </w:r>
      <w:r w:rsidRPr="004E0F02">
        <w:tab/>
        <w:t>Przepisów niniejszego rozdziału nie stosuje się do przekazywania informacji sektora publicznego przez podmioty zobowiązane, o których mowa</w:t>
      </w:r>
      <w:r w:rsidR="00E45B1D" w:rsidRPr="004E0F02">
        <w:t xml:space="preserve"> w art. 3 pkt </w:t>
      </w:r>
      <w:r w:rsidRPr="004E0F02">
        <w:t>5.</w:t>
      </w:r>
    </w:p>
    <w:p w14:paraId="48967614" w14:textId="7F409DD1" w:rsidR="00EF28B7" w:rsidRPr="004E0F02" w:rsidRDefault="00EF28B7" w:rsidP="00EF28B7">
      <w:pPr>
        <w:pStyle w:val="USTustnpkodeksu"/>
      </w:pPr>
      <w:r w:rsidRPr="004E0F02">
        <w:t>2.</w:t>
      </w:r>
      <w:r w:rsidR="003F3502" w:rsidRPr="004E0F02">
        <w:t> W </w:t>
      </w:r>
      <w:r w:rsidRPr="004E0F02">
        <w:t>przypadku przekaz</w:t>
      </w:r>
      <w:r w:rsidR="00444967" w:rsidRPr="004E0F02">
        <w:t>ywania</w:t>
      </w:r>
      <w:r w:rsidRPr="004E0F02">
        <w:t xml:space="preserve"> lub udostępni</w:t>
      </w:r>
      <w:r w:rsidR="00444967" w:rsidRPr="004E0F02">
        <w:t>a</w:t>
      </w:r>
      <w:r w:rsidRPr="004E0F02">
        <w:t xml:space="preserve">nia informacji sektora publicznego </w:t>
      </w:r>
      <w:r w:rsidR="00A03A7B" w:rsidRPr="004E0F02">
        <w:t xml:space="preserve">w celu </w:t>
      </w:r>
      <w:r w:rsidRPr="004E0F02">
        <w:t>ponownego wykorzystywania przez podmioty, o których mowa</w:t>
      </w:r>
      <w:r w:rsidR="00E45B1D" w:rsidRPr="004E0F02">
        <w:t xml:space="preserve"> w art. 3 pkt </w:t>
      </w:r>
      <w:r w:rsidRPr="004E0F02">
        <w:t xml:space="preserve">5, stosuje się przepisy rozdziałów </w:t>
      </w:r>
      <w:r w:rsidR="003F3502" w:rsidRPr="004E0F02">
        <w:t>2</w:t>
      </w:r>
      <w:r w:rsidR="00DD6B74" w:rsidRPr="004E0F02">
        <w:t>–</w:t>
      </w:r>
      <w:r w:rsidRPr="004E0F02">
        <w:t>4.</w:t>
      </w:r>
    </w:p>
    <w:p w14:paraId="4F3CC724" w14:textId="77777777" w:rsidR="00EF28B7" w:rsidRPr="004E0F02" w:rsidRDefault="00EF28B7" w:rsidP="00EF28B7">
      <w:pPr>
        <w:pStyle w:val="ROZDZODDZOZNoznaczenierozdziauluboddziau"/>
      </w:pPr>
      <w:r w:rsidRPr="004E0F02">
        <w:t>Rozdział 10</w:t>
      </w:r>
    </w:p>
    <w:p w14:paraId="69B07CCD" w14:textId="77777777" w:rsidR="00EF28B7" w:rsidRPr="004E0F02" w:rsidRDefault="00EF28B7" w:rsidP="00E45B1D">
      <w:pPr>
        <w:pStyle w:val="ROZDZODDZPRZEDMprzedmiotregulacjirozdziauluboddziau"/>
      </w:pPr>
      <w:r w:rsidRPr="004E0F02">
        <w:t>Zmiany w przepisach obowiązujących</w:t>
      </w:r>
    </w:p>
    <w:p w14:paraId="32B0C4AD" w14:textId="607A443B" w:rsidR="00207EB2" w:rsidRPr="004E0F02" w:rsidRDefault="00207EB2" w:rsidP="00207EB2">
      <w:pPr>
        <w:pStyle w:val="ARTartustawynprozporzdzenia"/>
      </w:pPr>
      <w:r w:rsidRPr="004E0F02">
        <w:rPr>
          <w:rStyle w:val="Ppogrubienie"/>
        </w:rPr>
        <w:t>Art. </w:t>
      </w:r>
      <w:r w:rsidR="00AD4CAB" w:rsidRPr="004E0F02">
        <w:rPr>
          <w:rStyle w:val="Ppogrubienie"/>
        </w:rPr>
        <w:t>4</w:t>
      </w:r>
      <w:r w:rsidR="00225724" w:rsidRPr="004E0F02">
        <w:rPr>
          <w:rStyle w:val="Ppogrubienie"/>
        </w:rPr>
        <w:t>8</w:t>
      </w:r>
      <w:r w:rsidRPr="004E0F02">
        <w:rPr>
          <w:rStyle w:val="Ppogrubienie"/>
        </w:rPr>
        <w:t>.</w:t>
      </w:r>
      <w:r w:rsidRPr="004E0F02">
        <w:t> W ustawie z dnia 17 maja 1989 r. – Prawo geodezyjne i kartograficzne (</w:t>
      </w:r>
      <w:r w:rsidR="00E45B1D" w:rsidRPr="004E0F02">
        <w:t>Dz. U.</w:t>
      </w:r>
      <w:r w:rsidRPr="004E0F02">
        <w:t xml:space="preserve"> z 202</w:t>
      </w:r>
      <w:r w:rsidR="00E45B1D" w:rsidRPr="004E0F02">
        <w:t>0 poz. </w:t>
      </w:r>
      <w:r w:rsidR="00DC7F90" w:rsidRPr="004E0F02">
        <w:t>2052</w:t>
      </w:r>
      <w:r w:rsidRPr="004E0F02">
        <w:t>)</w:t>
      </w:r>
      <w:r w:rsidR="00E45B1D" w:rsidRPr="004E0F02">
        <w:t xml:space="preserve"> w art. </w:t>
      </w:r>
      <w:r w:rsidRPr="004E0F02">
        <w:t xml:space="preserve">40k wyrazy </w:t>
      </w:r>
      <w:r w:rsidR="00E45B1D" w:rsidRPr="004E0F02">
        <w:t>„</w:t>
      </w:r>
      <w:r w:rsidRPr="004E0F02">
        <w:t>ustawy z dnia 25 lutego 2016 r. o ponownym wykorzystywaniu informacji sektora publicznego (</w:t>
      </w:r>
      <w:r w:rsidR="00E45B1D" w:rsidRPr="004E0F02">
        <w:t>Dz. U.</w:t>
      </w:r>
      <w:r w:rsidRPr="004E0F02">
        <w:t xml:space="preserve"> z 2019 r.</w:t>
      </w:r>
      <w:r w:rsidR="00E45B1D" w:rsidRPr="004E0F02">
        <w:t xml:space="preserve"> poz. </w:t>
      </w:r>
      <w:r w:rsidRPr="004E0F02">
        <w:t>1446)</w:t>
      </w:r>
      <w:r w:rsidR="00E45B1D" w:rsidRPr="004E0F02">
        <w:t>”</w:t>
      </w:r>
      <w:r w:rsidRPr="004E0F02">
        <w:t xml:space="preserve"> zastępuje się wyrazami </w:t>
      </w:r>
      <w:r w:rsidR="00E45B1D" w:rsidRPr="004E0F02">
        <w:t>„</w:t>
      </w:r>
      <w:r w:rsidRPr="004E0F02">
        <w:t>ustawy z dnia … o otwartych danych i ponownym wykorzystywaniu informacji sektora publicznego (</w:t>
      </w:r>
      <w:r w:rsidR="00E45B1D" w:rsidRPr="004E0F02">
        <w:t>Dz. U. poz. </w:t>
      </w:r>
      <w:r w:rsidRPr="004E0F02">
        <w:t>…)</w:t>
      </w:r>
      <w:r w:rsidR="00E45B1D" w:rsidRPr="004E0F02">
        <w:t>”</w:t>
      </w:r>
      <w:r w:rsidRPr="004E0F02">
        <w:t>.</w:t>
      </w:r>
    </w:p>
    <w:p w14:paraId="449C69CB" w14:textId="4D987442" w:rsidR="00A94A95" w:rsidRPr="004E0F02" w:rsidRDefault="00207EB2" w:rsidP="00207EB2">
      <w:pPr>
        <w:pStyle w:val="ARTartustawynprozporzdzenia"/>
      </w:pPr>
      <w:r w:rsidRPr="004E0F02">
        <w:rPr>
          <w:rStyle w:val="Ppogrubienie"/>
        </w:rPr>
        <w:t>Art. </w:t>
      </w:r>
      <w:r w:rsidR="00AD4CAB" w:rsidRPr="004E0F02">
        <w:rPr>
          <w:rStyle w:val="Ppogrubienie"/>
        </w:rPr>
        <w:t>4</w:t>
      </w:r>
      <w:r w:rsidR="00225724" w:rsidRPr="004E0F02">
        <w:rPr>
          <w:rStyle w:val="Ppogrubienie"/>
        </w:rPr>
        <w:t>9</w:t>
      </w:r>
      <w:r w:rsidRPr="004E0F02">
        <w:rPr>
          <w:rStyle w:val="Ppogrubienie"/>
        </w:rPr>
        <w:t>.</w:t>
      </w:r>
      <w:r w:rsidRPr="004E0F02">
        <w:t> W ustawie z dnia 29 czerwca 1995 r. o statystyce publicznej (</w:t>
      </w:r>
      <w:r w:rsidR="00E45B1D" w:rsidRPr="004E0F02">
        <w:t>Dz. U.</w:t>
      </w:r>
      <w:r w:rsidRPr="004E0F02">
        <w:t xml:space="preserve"> z 2020 r.</w:t>
      </w:r>
      <w:r w:rsidR="00E45B1D" w:rsidRPr="004E0F02">
        <w:t xml:space="preserve"> poz. </w:t>
      </w:r>
      <w:r w:rsidRPr="004E0F02">
        <w:t>443</w:t>
      </w:r>
      <w:r w:rsidR="00DC7F90" w:rsidRPr="004E0F02">
        <w:t xml:space="preserve"> i 1486</w:t>
      </w:r>
      <w:r w:rsidRPr="004E0F02">
        <w:t>)</w:t>
      </w:r>
      <w:r w:rsidR="00A94A95" w:rsidRPr="004E0F02">
        <w:t xml:space="preserve"> wprowadza się następujące zmiany:</w:t>
      </w:r>
    </w:p>
    <w:p w14:paraId="139E02FD" w14:textId="61C3A667" w:rsidR="00A94A95" w:rsidRPr="004E0F02" w:rsidRDefault="00E45B1D" w:rsidP="00A94A95">
      <w:pPr>
        <w:pStyle w:val="PKTpunkt"/>
      </w:pPr>
      <w:r w:rsidRPr="004E0F02">
        <w:t xml:space="preserve"> </w:t>
      </w:r>
      <w:r w:rsidR="00A94A95" w:rsidRPr="004E0F02">
        <w:t>1)</w:t>
      </w:r>
      <w:r w:rsidR="00B20470">
        <w:tab/>
      </w:r>
      <w:r w:rsidR="00A94A95" w:rsidRPr="004E0F02">
        <w:t>w art. 2 ustawy po pkt 15 dodaje się pkt 16 w brzmieniu:</w:t>
      </w:r>
    </w:p>
    <w:p w14:paraId="49AF15CF" w14:textId="4C403AEE" w:rsidR="00A94A95" w:rsidRPr="004E0F02" w:rsidRDefault="00A94A95" w:rsidP="001D6634">
      <w:pPr>
        <w:pStyle w:val="ZPKTzmpktartykuempunktem"/>
      </w:pPr>
      <w:r w:rsidRPr="004E0F02">
        <w:lastRenderedPageBreak/>
        <w:t>„16) informacja sektora publicznego – informacja w rozumieni</w:t>
      </w:r>
      <w:r w:rsidR="001D6634" w:rsidRPr="004E0F02">
        <w:t>u art. 2 pkt 8 ustawy z dnia …</w:t>
      </w:r>
      <w:r w:rsidRPr="004E0F02">
        <w:t xml:space="preserve"> o otwartych danych i ponownym wykorzystywaniu informacji sektora publicznego (Dz. U. </w:t>
      </w:r>
      <w:r w:rsidR="001D6634" w:rsidRPr="004E0F02">
        <w:t>poz. …</w:t>
      </w:r>
      <w:r w:rsidRPr="004E0F02">
        <w:t>)”;</w:t>
      </w:r>
    </w:p>
    <w:p w14:paraId="534A571D" w14:textId="29D39C5B" w:rsidR="00A94A95" w:rsidRPr="004E0F02" w:rsidRDefault="00A94A95" w:rsidP="00A94A95">
      <w:pPr>
        <w:pStyle w:val="PKTpunkt"/>
      </w:pPr>
      <w:r w:rsidRPr="004E0F02">
        <w:t>2)</w:t>
      </w:r>
      <w:r w:rsidR="00B20470">
        <w:tab/>
      </w:r>
      <w:r w:rsidRPr="004E0F02">
        <w:t>w art. 13 po ust. 1 dodaje się ust. 1a w brzmieniu:</w:t>
      </w:r>
    </w:p>
    <w:p w14:paraId="1E093F66" w14:textId="3487AAD5" w:rsidR="00A94A95" w:rsidRPr="004E0F02" w:rsidRDefault="00A94A95" w:rsidP="001D6634">
      <w:pPr>
        <w:pStyle w:val="ZUSTzmustartykuempunktem"/>
      </w:pPr>
      <w:r w:rsidRPr="004E0F02">
        <w:t>„1a. W sytuacjach potrzeby przeprowadzenia opracowań, analiz i wyników obliczeń na podstawie informacji sektora publicznego niedostępnych w trybie określonym w ust. 1, Prezes Głównego Urzędu Statystycznego jest uprawniony do występowania do organów i podmiotów, o których mowa w ust. 1, o przekazanie lub udostępnienie nieodpłatnie służbom statystyki publicznej zgromadzonych danych jednostkowych identyfikowalnych, w tym danych osobowych zawiera</w:t>
      </w:r>
      <w:r w:rsidR="00A32622" w:rsidRPr="004E0F02">
        <w:t>jących się w katalogu danych, o </w:t>
      </w:r>
      <w:r w:rsidRPr="004E0F02">
        <w:t>których mowa w art. 35b ust. 1,  nieidentyfikowalnych lub zestawień zbiorczych.”;</w:t>
      </w:r>
    </w:p>
    <w:p w14:paraId="4275F285" w14:textId="362207DB" w:rsidR="00207EB2" w:rsidRPr="004E0F02" w:rsidRDefault="00A94A95" w:rsidP="00A94A95">
      <w:pPr>
        <w:pStyle w:val="PKTpunkt"/>
      </w:pPr>
      <w:r w:rsidRPr="004E0F02">
        <w:t>3)</w:t>
      </w:r>
      <w:r w:rsidRPr="004E0F02">
        <w:tab/>
      </w:r>
      <w:r w:rsidR="00E45B1D" w:rsidRPr="004E0F02">
        <w:t>w art. </w:t>
      </w:r>
      <w:r w:rsidR="00207EB2" w:rsidRPr="004E0F02">
        <w:t xml:space="preserve">49a wyrazy </w:t>
      </w:r>
      <w:r w:rsidR="00E45B1D" w:rsidRPr="004E0F02">
        <w:t>„</w:t>
      </w:r>
      <w:r w:rsidR="00207EB2" w:rsidRPr="004E0F02">
        <w:t>ustawy z dnia 25 lutego 2016 r. o ponownym wykorzystywaniu informacji sektora publicznego (</w:t>
      </w:r>
      <w:r w:rsidR="00E45B1D" w:rsidRPr="004E0F02">
        <w:t>Dz. U.</w:t>
      </w:r>
      <w:r w:rsidR="00207EB2" w:rsidRPr="004E0F02">
        <w:t xml:space="preserve"> z 2019 r.</w:t>
      </w:r>
      <w:r w:rsidR="00E45B1D" w:rsidRPr="004E0F02">
        <w:t xml:space="preserve"> poz. </w:t>
      </w:r>
      <w:r w:rsidR="00207EB2" w:rsidRPr="004E0F02">
        <w:t>1446)</w:t>
      </w:r>
      <w:r w:rsidR="00E45B1D" w:rsidRPr="004E0F02">
        <w:t>”</w:t>
      </w:r>
      <w:r w:rsidR="00207EB2" w:rsidRPr="004E0F02">
        <w:t xml:space="preserve"> zastępuje się wyrazami </w:t>
      </w:r>
      <w:r w:rsidR="00E45B1D" w:rsidRPr="004E0F02">
        <w:t>„</w:t>
      </w:r>
      <w:r w:rsidR="00207EB2" w:rsidRPr="004E0F02">
        <w:t>ustawy z dnia … o otwartych danych i ponownym wykorzystywaniu informacji sektora publicznego</w:t>
      </w:r>
      <w:r w:rsidR="00E45B1D" w:rsidRPr="004E0F02">
        <w:t>”</w:t>
      </w:r>
      <w:r w:rsidR="00207EB2" w:rsidRPr="004E0F02">
        <w:t>.</w:t>
      </w:r>
    </w:p>
    <w:p w14:paraId="41E5B1B5" w14:textId="53E94884" w:rsidR="00207EB2" w:rsidRPr="004E0F02" w:rsidRDefault="00207EB2" w:rsidP="00207EB2">
      <w:pPr>
        <w:pStyle w:val="ARTartustawynprozporzdzenia"/>
      </w:pPr>
      <w:r w:rsidRPr="004E0F02">
        <w:rPr>
          <w:rStyle w:val="Ppogrubienie"/>
        </w:rPr>
        <w:t>Art. </w:t>
      </w:r>
      <w:r w:rsidR="00225724" w:rsidRPr="004E0F02">
        <w:rPr>
          <w:rStyle w:val="Ppogrubienie"/>
        </w:rPr>
        <w:t>50</w:t>
      </w:r>
      <w:r w:rsidRPr="004E0F02">
        <w:rPr>
          <w:rStyle w:val="Ppogrubienie"/>
        </w:rPr>
        <w:t>.</w:t>
      </w:r>
      <w:r w:rsidRPr="004E0F02">
        <w:t> W ustawie z dnia 21 listopada 1996 r. o muzeach (</w:t>
      </w:r>
      <w:r w:rsidR="00E45B1D" w:rsidRPr="004E0F02">
        <w:t>Dz. U.</w:t>
      </w:r>
      <w:r w:rsidR="00C92B91" w:rsidRPr="004E0F02">
        <w:t xml:space="preserve"> z 2020</w:t>
      </w:r>
      <w:r w:rsidRPr="004E0F02">
        <w:t> r.</w:t>
      </w:r>
      <w:r w:rsidR="00E45B1D" w:rsidRPr="004E0F02">
        <w:t xml:space="preserve"> poz. </w:t>
      </w:r>
      <w:r w:rsidR="00C92B91" w:rsidRPr="004E0F02">
        <w:t>902</w:t>
      </w:r>
      <w:r w:rsidRPr="004E0F02">
        <w:t>)</w:t>
      </w:r>
      <w:r w:rsidR="00E45B1D" w:rsidRPr="004E0F02">
        <w:t xml:space="preserve"> w art. </w:t>
      </w:r>
      <w:r w:rsidRPr="004E0F02">
        <w:t>2</w:t>
      </w:r>
      <w:r w:rsidR="00E45B1D" w:rsidRPr="004E0F02">
        <w:t>5 ust. </w:t>
      </w:r>
      <w:r w:rsidRPr="004E0F02">
        <w:t xml:space="preserve">4 wyrazy </w:t>
      </w:r>
      <w:r w:rsidR="00E45B1D" w:rsidRPr="004E0F02">
        <w:t>„</w:t>
      </w:r>
      <w:r w:rsidRPr="004E0F02">
        <w:t>ustawy z dnia 25 lutego 2016 r. o ponownym wykorzystywaniu informacji sektora publicznego (</w:t>
      </w:r>
      <w:r w:rsidR="00E45B1D" w:rsidRPr="004E0F02">
        <w:t>Dz. U.</w:t>
      </w:r>
      <w:r w:rsidRPr="004E0F02">
        <w:t xml:space="preserve"> z 2018 r.</w:t>
      </w:r>
      <w:r w:rsidR="00E45B1D" w:rsidRPr="004E0F02">
        <w:t xml:space="preserve"> poz. </w:t>
      </w:r>
      <w:r w:rsidRPr="004E0F02">
        <w:t>124</w:t>
      </w:r>
      <w:r w:rsidR="00E45B1D" w:rsidRPr="004E0F02">
        <w:t>3 i </w:t>
      </w:r>
      <w:r w:rsidRPr="004E0F02">
        <w:t xml:space="preserve">1669) zastępuje się wyrazami </w:t>
      </w:r>
      <w:r w:rsidR="00E45B1D" w:rsidRPr="004E0F02">
        <w:t>„</w:t>
      </w:r>
      <w:r w:rsidRPr="004E0F02">
        <w:t>ustawy z dnia … o otwartych danych i ponownym wykorzystywaniu informacji sektora publicznego (</w:t>
      </w:r>
      <w:r w:rsidR="00E45B1D" w:rsidRPr="004E0F02">
        <w:t>Dz. U. poz. </w:t>
      </w:r>
      <w:r w:rsidRPr="004E0F02">
        <w:t>…)</w:t>
      </w:r>
      <w:r w:rsidR="00E45B1D" w:rsidRPr="004E0F02">
        <w:t>”</w:t>
      </w:r>
      <w:r w:rsidRPr="004E0F02">
        <w:t>.</w:t>
      </w:r>
    </w:p>
    <w:p w14:paraId="23DF3AFB" w14:textId="22DE3B2E" w:rsidR="00207EB2" w:rsidRPr="004E0F02" w:rsidRDefault="00207EB2" w:rsidP="00E45B1D">
      <w:pPr>
        <w:pStyle w:val="ARTartustawynprozporzdzenia"/>
        <w:keepNext/>
      </w:pPr>
      <w:r w:rsidRPr="004E0F02">
        <w:rPr>
          <w:rStyle w:val="Ppogrubienie"/>
        </w:rPr>
        <w:t>Art. </w:t>
      </w:r>
      <w:r w:rsidR="00225724" w:rsidRPr="004E0F02">
        <w:rPr>
          <w:rStyle w:val="Ppogrubienie"/>
        </w:rPr>
        <w:t>51</w:t>
      </w:r>
      <w:r w:rsidRPr="004E0F02">
        <w:rPr>
          <w:rStyle w:val="Ppogrubienie"/>
        </w:rPr>
        <w:t>.</w:t>
      </w:r>
      <w:r w:rsidRPr="004E0F02">
        <w:t> W ustawie z dnia 20 czerwca 1997 r. – Prawo o ruchu drogowym (</w:t>
      </w:r>
      <w:r w:rsidR="00E45B1D" w:rsidRPr="004E0F02">
        <w:t>Dz. U.</w:t>
      </w:r>
      <w:r w:rsidRPr="004E0F02">
        <w:t xml:space="preserve"> z 2020 r.</w:t>
      </w:r>
      <w:r w:rsidR="00E45B1D" w:rsidRPr="004E0F02">
        <w:t xml:space="preserve"> poz. </w:t>
      </w:r>
      <w:r w:rsidRPr="004E0F02">
        <w:t>110, 284, 56</w:t>
      </w:r>
      <w:r w:rsidR="00AF626C" w:rsidRPr="004E0F02">
        <w:t>8</w:t>
      </w:r>
      <w:r w:rsidR="00C92B91" w:rsidRPr="004E0F02">
        <w:t xml:space="preserve">, </w:t>
      </w:r>
      <w:r w:rsidRPr="004E0F02">
        <w:t>69</w:t>
      </w:r>
      <w:r w:rsidR="00E45B1D" w:rsidRPr="004E0F02">
        <w:t>5</w:t>
      </w:r>
      <w:r w:rsidR="004840CC" w:rsidRPr="004E0F02">
        <w:t>,</w:t>
      </w:r>
      <w:r w:rsidR="00E45B1D" w:rsidRPr="004E0F02">
        <w:t xml:space="preserve"> </w:t>
      </w:r>
      <w:r w:rsidR="00C92B91" w:rsidRPr="004E0F02">
        <w:t>1087</w:t>
      </w:r>
      <w:r w:rsidR="00EF5FF2" w:rsidRPr="004E0F02">
        <w:t xml:space="preserve"> i 1517</w:t>
      </w:r>
      <w:r w:rsidRPr="004E0F02">
        <w:t>) wprowadza się następujące zmiany:</w:t>
      </w:r>
    </w:p>
    <w:p w14:paraId="45E67AF0" w14:textId="6E4287D7" w:rsidR="00207EB2" w:rsidRPr="004E0F02" w:rsidRDefault="00207EB2" w:rsidP="00207EB2">
      <w:pPr>
        <w:pStyle w:val="ZPKTzmpktartykuempunktem"/>
      </w:pPr>
      <w:r w:rsidRPr="004E0F02">
        <w:t>1)</w:t>
      </w:r>
      <w:r w:rsidRPr="004E0F02">
        <w:tab/>
        <w:t>w</w:t>
      </w:r>
      <w:r w:rsidR="00E45B1D" w:rsidRPr="004E0F02">
        <w:t xml:space="preserve"> art. </w:t>
      </w:r>
      <w:r w:rsidRPr="004E0F02">
        <w:t>80ce</w:t>
      </w:r>
      <w:r w:rsidR="00E45B1D" w:rsidRPr="004E0F02">
        <w:t xml:space="preserve"> ust. </w:t>
      </w:r>
      <w:r w:rsidRPr="004E0F02">
        <w:t xml:space="preserve">1 wyrazy </w:t>
      </w:r>
      <w:r w:rsidR="00E45B1D" w:rsidRPr="004E0F02">
        <w:t>„</w:t>
      </w:r>
      <w:r w:rsidRPr="004E0F02">
        <w:t>ustawy z dnia 25 lutego 2016 r. o ponownym wykorzystywaniu informacji sektora publicznego (</w:t>
      </w:r>
      <w:r w:rsidR="00E45B1D" w:rsidRPr="004E0F02">
        <w:t>Dz. U.</w:t>
      </w:r>
      <w:r w:rsidRPr="004E0F02">
        <w:t xml:space="preserve"> z 2019 r.</w:t>
      </w:r>
      <w:r w:rsidR="00E45B1D" w:rsidRPr="004E0F02">
        <w:t xml:space="preserve"> poz. </w:t>
      </w:r>
      <w:r w:rsidRPr="004E0F02">
        <w:t>1446)</w:t>
      </w:r>
      <w:r w:rsidR="00E45B1D" w:rsidRPr="004E0F02">
        <w:t>”</w:t>
      </w:r>
      <w:r w:rsidRPr="004E0F02">
        <w:t xml:space="preserve"> zastępuje się wyrazami </w:t>
      </w:r>
      <w:r w:rsidR="00E45B1D" w:rsidRPr="004E0F02">
        <w:t>„</w:t>
      </w:r>
      <w:r w:rsidRPr="004E0F02">
        <w:t>ustawy z dnia … o otwartych danych i ponownym wykorzystywaniu informacji sektora publicznego (</w:t>
      </w:r>
      <w:r w:rsidR="00E45B1D" w:rsidRPr="004E0F02">
        <w:t>Dz. U. poz. </w:t>
      </w:r>
      <w:r w:rsidRPr="004E0F02">
        <w:t>…)</w:t>
      </w:r>
      <w:r w:rsidR="00E45B1D" w:rsidRPr="004E0F02">
        <w:t>”</w:t>
      </w:r>
      <w:r w:rsidRPr="004E0F02">
        <w:t>;</w:t>
      </w:r>
    </w:p>
    <w:p w14:paraId="3607152A" w14:textId="170DFE48" w:rsidR="00207EB2" w:rsidRPr="004E0F02" w:rsidRDefault="00207EB2" w:rsidP="00207EB2">
      <w:pPr>
        <w:pStyle w:val="ZPKTzmpktartykuempunktem"/>
      </w:pPr>
      <w:r w:rsidRPr="004E0F02">
        <w:t>2)</w:t>
      </w:r>
      <w:r w:rsidRPr="004E0F02">
        <w:tab/>
        <w:t>w</w:t>
      </w:r>
      <w:r w:rsidR="00E45B1D" w:rsidRPr="004E0F02">
        <w:t xml:space="preserve"> art. </w:t>
      </w:r>
      <w:r w:rsidRPr="004E0F02">
        <w:t>100am</w:t>
      </w:r>
      <w:r w:rsidR="00E45B1D" w:rsidRPr="004E0F02">
        <w:t xml:space="preserve"> ust. </w:t>
      </w:r>
      <w:r w:rsidRPr="004E0F02">
        <w:t xml:space="preserve">1 wyrazy </w:t>
      </w:r>
      <w:r w:rsidR="00E45B1D" w:rsidRPr="004E0F02">
        <w:t>„</w:t>
      </w:r>
      <w:r w:rsidRPr="004E0F02">
        <w:t>ustawy z dnia 25 lutego 2016 r. o ponownym wykorzystywaniu informacji sektora publicznego</w:t>
      </w:r>
      <w:r w:rsidR="00E45B1D" w:rsidRPr="004E0F02">
        <w:t>”</w:t>
      </w:r>
      <w:r w:rsidRPr="004E0F02">
        <w:t xml:space="preserve"> zastępuje się wyrazami </w:t>
      </w:r>
      <w:r w:rsidR="00E45B1D" w:rsidRPr="004E0F02">
        <w:t>„</w:t>
      </w:r>
      <w:r w:rsidRPr="004E0F02">
        <w:t>ustawy z dnia … o otwartych danych i ponownym wykorzystywaniu informacji sektora publicznego</w:t>
      </w:r>
      <w:r w:rsidR="00E45B1D" w:rsidRPr="004E0F02">
        <w:t>”</w:t>
      </w:r>
      <w:r w:rsidRPr="004E0F02">
        <w:t>.</w:t>
      </w:r>
    </w:p>
    <w:p w14:paraId="48C3CD24" w14:textId="42910623" w:rsidR="00207EB2" w:rsidRPr="004E0F02" w:rsidRDefault="00207EB2" w:rsidP="00E45B1D">
      <w:pPr>
        <w:pStyle w:val="ARTartustawynprozporzdzenia"/>
        <w:keepNext/>
      </w:pPr>
      <w:r w:rsidRPr="004E0F02">
        <w:rPr>
          <w:rStyle w:val="Ppogrubienie"/>
        </w:rPr>
        <w:lastRenderedPageBreak/>
        <w:t>Art.</w:t>
      </w:r>
      <w:r w:rsidR="00707A4A" w:rsidRPr="004E0F02">
        <w:rPr>
          <w:rStyle w:val="Ppogrubienie"/>
        </w:rPr>
        <w:t> </w:t>
      </w:r>
      <w:r w:rsidR="00225724" w:rsidRPr="004E0F02">
        <w:rPr>
          <w:rStyle w:val="Ppogrubienie"/>
        </w:rPr>
        <w:t>52</w:t>
      </w:r>
      <w:r w:rsidRPr="004E0F02">
        <w:rPr>
          <w:rStyle w:val="Ppogrubienie"/>
        </w:rPr>
        <w:t>.</w:t>
      </w:r>
      <w:r w:rsidR="00253761" w:rsidRPr="004E0F02">
        <w:t xml:space="preserve"> W </w:t>
      </w:r>
      <w:r w:rsidRPr="004E0F02">
        <w:t>ustawie</w:t>
      </w:r>
      <w:r w:rsidR="00253761" w:rsidRPr="004E0F02">
        <w:t xml:space="preserve"> z </w:t>
      </w:r>
      <w:r w:rsidRPr="004E0F02">
        <w:t>dnia 2</w:t>
      </w:r>
      <w:r w:rsidR="00253761" w:rsidRPr="004E0F02">
        <w:t>0 </w:t>
      </w:r>
      <w:r w:rsidRPr="004E0F02">
        <w:t>sierpnia 199</w:t>
      </w:r>
      <w:r w:rsidR="00253761" w:rsidRPr="004E0F02">
        <w:t>7 </w:t>
      </w:r>
      <w:r w:rsidRPr="004E0F02">
        <w:t>r.</w:t>
      </w:r>
      <w:r w:rsidR="00253761" w:rsidRPr="004E0F02">
        <w:t xml:space="preserve"> o </w:t>
      </w:r>
      <w:r w:rsidRPr="004E0F02">
        <w:t>Krajowym Rejestrze Sądowym (</w:t>
      </w:r>
      <w:r w:rsidR="00E45B1D" w:rsidRPr="004E0F02">
        <w:t>Dz. U.</w:t>
      </w:r>
      <w:r w:rsidRPr="004E0F02">
        <w:t xml:space="preserve"> z 201</w:t>
      </w:r>
      <w:r w:rsidR="00253761" w:rsidRPr="004E0F02">
        <w:t>9 </w:t>
      </w:r>
      <w:r w:rsidRPr="004E0F02">
        <w:t>r.</w:t>
      </w:r>
      <w:r w:rsidR="00E45B1D" w:rsidRPr="004E0F02">
        <w:t xml:space="preserve"> poz. </w:t>
      </w:r>
      <w:r w:rsidRPr="004E0F02">
        <w:t>150</w:t>
      </w:r>
      <w:r w:rsidR="00AF626C" w:rsidRPr="004E0F02">
        <w:t>0</w:t>
      </w:r>
      <w:r w:rsidR="00753651" w:rsidRPr="004E0F02">
        <w:t>, 165</w:t>
      </w:r>
      <w:r w:rsidR="00E45B1D" w:rsidRPr="004E0F02">
        <w:t>5 i </w:t>
      </w:r>
      <w:r w:rsidRPr="004E0F02">
        <w:t>1798</w:t>
      </w:r>
      <w:r w:rsidR="00EF5FF2" w:rsidRPr="004E0F02">
        <w:t xml:space="preserve"> oraz z 2020 r. poz. 288</w:t>
      </w:r>
      <w:r w:rsidRPr="004E0F02">
        <w:t>) po</w:t>
      </w:r>
      <w:r w:rsidR="00E45B1D" w:rsidRPr="004E0F02">
        <w:t xml:space="preserve"> art. </w:t>
      </w:r>
      <w:r w:rsidRPr="004E0F02">
        <w:t>4a dodaje się</w:t>
      </w:r>
      <w:r w:rsidR="00E45B1D" w:rsidRPr="004E0F02">
        <w:t xml:space="preserve"> art. </w:t>
      </w:r>
      <w:r w:rsidRPr="004E0F02">
        <w:t>4b</w:t>
      </w:r>
      <w:r w:rsidR="00253761" w:rsidRPr="004E0F02">
        <w:t xml:space="preserve"> w </w:t>
      </w:r>
      <w:r w:rsidRPr="004E0F02">
        <w:t>brzmieniu:</w:t>
      </w:r>
    </w:p>
    <w:p w14:paraId="1AA1B29A" w14:textId="50A54FEB" w:rsidR="00207EB2" w:rsidRPr="004E0F02" w:rsidRDefault="00E45B1D" w:rsidP="00207EB2">
      <w:pPr>
        <w:pStyle w:val="ZARTzmartartykuempunktem"/>
      </w:pPr>
      <w:r w:rsidRPr="004E0F02">
        <w:t>„</w:t>
      </w:r>
      <w:r w:rsidR="00207EB2" w:rsidRPr="004E0F02">
        <w:t>Art. 4b. 1. Dane</w:t>
      </w:r>
      <w:r w:rsidR="00253761" w:rsidRPr="004E0F02">
        <w:t xml:space="preserve"> i </w:t>
      </w:r>
      <w:r w:rsidR="00207EB2" w:rsidRPr="004E0F02">
        <w:t>informacje</w:t>
      </w:r>
      <w:r w:rsidR="00253761" w:rsidRPr="004E0F02">
        <w:t xml:space="preserve"> o </w:t>
      </w:r>
      <w:r w:rsidR="00207EB2" w:rsidRPr="004E0F02">
        <w:t xml:space="preserve">podmiotach wpisanych do Rejestru są przekazywane </w:t>
      </w:r>
      <w:r w:rsidR="00A03A7B" w:rsidRPr="004E0F02">
        <w:t xml:space="preserve">w celu </w:t>
      </w:r>
      <w:r w:rsidR="00207EB2" w:rsidRPr="004E0F02">
        <w:t>ponownego wykorzystywania,</w:t>
      </w:r>
      <w:r w:rsidR="00253761" w:rsidRPr="004E0F02">
        <w:t xml:space="preserve"> z </w:t>
      </w:r>
      <w:r w:rsidR="00207EB2" w:rsidRPr="004E0F02">
        <w:t>zachowaniem przepisów ustawy</w:t>
      </w:r>
      <w:r w:rsidR="00253761" w:rsidRPr="004E0F02">
        <w:t xml:space="preserve"> z </w:t>
      </w:r>
      <w:r w:rsidR="00207EB2" w:rsidRPr="004E0F02">
        <w:t>dnia …</w:t>
      </w:r>
      <w:r w:rsidR="00253761" w:rsidRPr="004E0F02">
        <w:t xml:space="preserve"> o </w:t>
      </w:r>
      <w:r w:rsidR="00207EB2" w:rsidRPr="004E0F02">
        <w:t>otwartych danych</w:t>
      </w:r>
      <w:r w:rsidR="00253761" w:rsidRPr="004E0F02">
        <w:t xml:space="preserve"> i </w:t>
      </w:r>
      <w:r w:rsidR="00207EB2" w:rsidRPr="004E0F02">
        <w:t>ponownym wykorzystywaniu informacji sektora publicznego (</w:t>
      </w:r>
      <w:r w:rsidRPr="004E0F02">
        <w:t>Dz. U. poz. </w:t>
      </w:r>
      <w:r w:rsidR="00207EB2" w:rsidRPr="004E0F02">
        <w:t>…), jeżeli przepisy ustawy nie stanowią inaczej.</w:t>
      </w:r>
    </w:p>
    <w:p w14:paraId="484D6D3A" w14:textId="52942A42" w:rsidR="00207EB2" w:rsidRPr="004E0F02" w:rsidRDefault="00207EB2" w:rsidP="00207EB2">
      <w:pPr>
        <w:pStyle w:val="ZARTzmartartykuempunktem"/>
      </w:pPr>
      <w:r w:rsidRPr="004E0F02">
        <w:t>2. Centralna Informacja przekazuje, za pośrednictwem systemu teleinformatycznego, dane</w:t>
      </w:r>
      <w:r w:rsidR="00253761" w:rsidRPr="004E0F02">
        <w:t xml:space="preserve"> i </w:t>
      </w:r>
      <w:r w:rsidRPr="004E0F02">
        <w:t>informacje</w:t>
      </w:r>
      <w:r w:rsidR="00253761" w:rsidRPr="004E0F02">
        <w:t xml:space="preserve"> o </w:t>
      </w:r>
      <w:r w:rsidRPr="004E0F02">
        <w:t xml:space="preserve">podmiotach wpisanych do Rejestru </w:t>
      </w:r>
      <w:r w:rsidR="00A03A7B" w:rsidRPr="004E0F02">
        <w:t>w celu</w:t>
      </w:r>
      <w:r w:rsidR="001839B2" w:rsidRPr="004E0F02">
        <w:t xml:space="preserve"> </w:t>
      </w:r>
      <w:r w:rsidRPr="004E0F02">
        <w:t>ponownego wykorzystywania na wniosek złożony</w:t>
      </w:r>
      <w:r w:rsidR="00253761" w:rsidRPr="004E0F02">
        <w:t xml:space="preserve"> w </w:t>
      </w:r>
      <w:r w:rsidRPr="004E0F02">
        <w:t>postaci elektronicznej opatrzonej kwalifikowanym podpisem elektronicznym, podpisem zaufanym albo podpisem osobistym. Dane zgromadzone</w:t>
      </w:r>
      <w:r w:rsidR="00253761" w:rsidRPr="004E0F02">
        <w:t xml:space="preserve"> w </w:t>
      </w:r>
      <w:r w:rsidRPr="004E0F02">
        <w:t xml:space="preserve">Rejestrze udostępnia się </w:t>
      </w:r>
      <w:r w:rsidR="00A03A7B" w:rsidRPr="004E0F02">
        <w:t xml:space="preserve">w celu </w:t>
      </w:r>
      <w:r w:rsidRPr="004E0F02">
        <w:t>ponownego wykorzystywania także za pośrednictwem</w:t>
      </w:r>
      <w:r w:rsidR="00EF5FF2" w:rsidRPr="004E0F02">
        <w:t xml:space="preserve"> interfejsu program</w:t>
      </w:r>
      <w:r w:rsidR="001839B2" w:rsidRPr="004E0F02">
        <w:t>istyczn</w:t>
      </w:r>
      <w:r w:rsidR="002A43A0">
        <w:t>ego</w:t>
      </w:r>
      <w:r w:rsidR="00EF5FF2" w:rsidRPr="004E0F02">
        <w:t xml:space="preserve"> aplikacji (API)</w:t>
      </w:r>
      <w:r w:rsidRPr="004E0F02">
        <w:t>.</w:t>
      </w:r>
    </w:p>
    <w:p w14:paraId="5D641526" w14:textId="13C03624" w:rsidR="00207EB2" w:rsidRPr="004E0F02" w:rsidRDefault="00207EB2" w:rsidP="00207EB2">
      <w:pPr>
        <w:pStyle w:val="ZARTzmartartykuempunktem"/>
      </w:pPr>
      <w:r w:rsidRPr="004E0F02">
        <w:t>3. Minister Sprawiedliwości określi,</w:t>
      </w:r>
      <w:r w:rsidR="00253761" w:rsidRPr="004E0F02">
        <w:t xml:space="preserve"> w </w:t>
      </w:r>
      <w:r w:rsidRPr="004E0F02">
        <w:t>drodze rozporządzenia, wzór wniosku, o którym mowa</w:t>
      </w:r>
      <w:r w:rsidR="00E45B1D" w:rsidRPr="004E0F02">
        <w:t xml:space="preserve"> w art. </w:t>
      </w:r>
      <w:r w:rsidRPr="004E0F02">
        <w:t>4b</w:t>
      </w:r>
      <w:r w:rsidR="00E45B1D" w:rsidRPr="004E0F02">
        <w:t xml:space="preserve"> ust. </w:t>
      </w:r>
      <w:r w:rsidRPr="004E0F02">
        <w:t>2, kierując się potrzebami usprawnienia procesu udostępniania</w:t>
      </w:r>
      <w:r w:rsidR="00253761" w:rsidRPr="004E0F02">
        <w:t xml:space="preserve"> i </w:t>
      </w:r>
      <w:r w:rsidRPr="004E0F02">
        <w:t>przekazywania danych</w:t>
      </w:r>
      <w:r w:rsidR="00253761" w:rsidRPr="004E0F02">
        <w:t xml:space="preserve"> i </w:t>
      </w:r>
      <w:r w:rsidRPr="004E0F02">
        <w:t>informacji</w:t>
      </w:r>
      <w:r w:rsidR="00253761" w:rsidRPr="004E0F02">
        <w:t xml:space="preserve"> o </w:t>
      </w:r>
      <w:r w:rsidRPr="004E0F02">
        <w:t>podmiotach wpisanych do Rejestru.</w:t>
      </w:r>
    </w:p>
    <w:p w14:paraId="638C2CCB" w14:textId="50067173" w:rsidR="00207EB2" w:rsidRPr="004E0F02" w:rsidRDefault="00207EB2" w:rsidP="00207EB2">
      <w:pPr>
        <w:pStyle w:val="ZARTzmartartykuempunktem"/>
      </w:pPr>
      <w:r w:rsidRPr="004E0F02">
        <w:t>4. Minister Sprawiedliwości określi,</w:t>
      </w:r>
      <w:r w:rsidR="00253761" w:rsidRPr="004E0F02">
        <w:t xml:space="preserve"> w </w:t>
      </w:r>
      <w:r w:rsidRPr="004E0F02">
        <w:t>drodze rozporządzenia, rodzaj oraz zakres danych</w:t>
      </w:r>
      <w:r w:rsidR="00253761" w:rsidRPr="004E0F02">
        <w:t xml:space="preserve"> i </w:t>
      </w:r>
      <w:r w:rsidRPr="004E0F02">
        <w:t>informacji</w:t>
      </w:r>
      <w:r w:rsidR="00253761" w:rsidRPr="004E0F02">
        <w:t xml:space="preserve"> z </w:t>
      </w:r>
      <w:r w:rsidRPr="004E0F02">
        <w:t>Rejestru, udostępnianych na podstawie niniejszego artykułu, uwzględniając konieczność zapewnienia bezpieczeństwa danych przetwarzanych w Rejestrze</w:t>
      </w:r>
      <w:r w:rsidR="00253761" w:rsidRPr="004E0F02">
        <w:t xml:space="preserve"> i </w:t>
      </w:r>
      <w:r w:rsidRPr="004E0F02">
        <w:t>ich ochrony przed nieuprawnionym dostępem, przetwarzaniem, zmianą lub utratą.</w:t>
      </w:r>
      <w:r w:rsidR="00E45B1D" w:rsidRPr="004E0F02">
        <w:t>”</w:t>
      </w:r>
      <w:r w:rsidRPr="004E0F02">
        <w:t>.</w:t>
      </w:r>
    </w:p>
    <w:p w14:paraId="139F475C" w14:textId="5D9D55A6" w:rsidR="00EF28B7" w:rsidRPr="004E0F02" w:rsidRDefault="00EF28B7" w:rsidP="00E45B1D">
      <w:pPr>
        <w:pStyle w:val="ARTartustawynprozporzdzenia"/>
        <w:keepNext/>
      </w:pPr>
      <w:r w:rsidRPr="004E0F02">
        <w:rPr>
          <w:rStyle w:val="Ppogrubienie"/>
        </w:rPr>
        <w:t>Art. </w:t>
      </w:r>
      <w:r w:rsidR="00225724" w:rsidRPr="004E0F02">
        <w:rPr>
          <w:rStyle w:val="Ppogrubienie"/>
        </w:rPr>
        <w:t>53</w:t>
      </w:r>
      <w:r w:rsidRPr="004E0F02">
        <w:rPr>
          <w:rStyle w:val="Ppogrubienie"/>
        </w:rPr>
        <w:t>.</w:t>
      </w:r>
      <w:r w:rsidRPr="004E0F02">
        <w:t> W</w:t>
      </w:r>
      <w:r w:rsidRPr="004E0F02">
        <w:tab/>
        <w:t>ustawie z dnia 6 września 2001 r. o dostępie do informacji publicznej (</w:t>
      </w:r>
      <w:r w:rsidR="00E45B1D" w:rsidRPr="004E0F02">
        <w:t>Dz. U.</w:t>
      </w:r>
      <w:r w:rsidRPr="004E0F02">
        <w:t xml:space="preserve"> z </w:t>
      </w:r>
      <w:r w:rsidR="00311DE8" w:rsidRPr="004E0F02">
        <w:t xml:space="preserve"> 2020 r. poz. 2176</w:t>
      </w:r>
      <w:r w:rsidRPr="004E0F02">
        <w:t>) wprowadza się następujące zmiany:</w:t>
      </w:r>
    </w:p>
    <w:p w14:paraId="60813F34" w14:textId="6DFBD280" w:rsidR="00EF28B7" w:rsidRPr="004E0F02" w:rsidRDefault="00EF28B7" w:rsidP="00E45B1D">
      <w:pPr>
        <w:pStyle w:val="PKTpunkt"/>
        <w:keepNext/>
      </w:pPr>
      <w:r w:rsidRPr="004E0F02">
        <w:t>1)</w:t>
      </w:r>
      <w:r w:rsidRPr="004E0F02">
        <w:tab/>
        <w:t>w</w:t>
      </w:r>
      <w:r w:rsidR="00E45B1D" w:rsidRPr="004E0F02">
        <w:t xml:space="preserve"> art. 1 ust. </w:t>
      </w:r>
      <w:r w:rsidRPr="004E0F02">
        <w:t>2 otrzymuje brzmienie:</w:t>
      </w:r>
    </w:p>
    <w:p w14:paraId="5962A33A" w14:textId="47DEF37F" w:rsidR="00EF28B7" w:rsidRPr="004E0F02" w:rsidRDefault="00E45B1D" w:rsidP="00EF28B7">
      <w:pPr>
        <w:pStyle w:val="ZUSTzmustartykuempunktem"/>
      </w:pPr>
      <w:r w:rsidRPr="004E0F02">
        <w:t>„</w:t>
      </w:r>
      <w:r w:rsidR="00EF28B7" w:rsidRPr="004E0F02">
        <w:t>2. Przepisy ustawy nie naruszają przepisów innych ustaw określających odmienne zasady i tryb dostępu do informacji będących informacjami publicznymi</w:t>
      </w:r>
      <w:r w:rsidR="001A54AE" w:rsidRPr="004E0F02">
        <w:t>.”</w:t>
      </w:r>
      <w:r w:rsidR="00311DE8" w:rsidRPr="004E0F02">
        <w:t>;</w:t>
      </w:r>
      <w:r w:rsidR="00EF28B7" w:rsidRPr="004E0F02">
        <w:t xml:space="preserve"> </w:t>
      </w:r>
    </w:p>
    <w:p w14:paraId="381CD325" w14:textId="67BBD5A9" w:rsidR="00EF28B7" w:rsidRPr="004E0F02" w:rsidRDefault="00EF28B7" w:rsidP="00EF28B7">
      <w:pPr>
        <w:pStyle w:val="PKTpunkt"/>
      </w:pPr>
      <w:r w:rsidRPr="004E0F02">
        <w:t>2)</w:t>
      </w:r>
      <w:r w:rsidRPr="004E0F02">
        <w:tab/>
        <w:t>użyte</w:t>
      </w:r>
      <w:r w:rsidR="00E45B1D" w:rsidRPr="004E0F02">
        <w:t xml:space="preserve"> w art. 7 ust. 1 pkt </w:t>
      </w:r>
      <w:r w:rsidRPr="004E0F02">
        <w:t>4,</w:t>
      </w:r>
      <w:r w:rsidR="00E45B1D" w:rsidRPr="004E0F02">
        <w:t xml:space="preserve"> w art. 9 ust. 1 pkt 3 oraz w art. </w:t>
      </w:r>
      <w:r w:rsidRPr="004E0F02">
        <w:t>1</w:t>
      </w:r>
      <w:r w:rsidR="00E45B1D" w:rsidRPr="004E0F02">
        <w:t>0 ust. 1 w </w:t>
      </w:r>
      <w:r w:rsidRPr="004E0F02">
        <w:t xml:space="preserve">różnym przypadku wyrazy </w:t>
      </w:r>
      <w:r w:rsidR="00E45B1D" w:rsidRPr="004E0F02">
        <w:t>„</w:t>
      </w:r>
      <w:r w:rsidRPr="004E0F02">
        <w:t>centralne repozytorium</w:t>
      </w:r>
      <w:r w:rsidR="00E45B1D" w:rsidRPr="004E0F02">
        <w:t>”</w:t>
      </w:r>
      <w:r w:rsidRPr="004E0F02">
        <w:t xml:space="preserve"> zastępuje się użytymi</w:t>
      </w:r>
      <w:r w:rsidR="003F3502" w:rsidRPr="004E0F02">
        <w:t xml:space="preserve"> w </w:t>
      </w:r>
      <w:r w:rsidRPr="004E0F02">
        <w:t xml:space="preserve">odpowiednim przypadku wyrazami </w:t>
      </w:r>
      <w:r w:rsidR="00E45B1D" w:rsidRPr="004E0F02">
        <w:t>„</w:t>
      </w:r>
      <w:r w:rsidRPr="004E0F02">
        <w:t>portal danych</w:t>
      </w:r>
      <w:r w:rsidR="00E45B1D" w:rsidRPr="004E0F02">
        <w:t>”</w:t>
      </w:r>
      <w:r w:rsidRPr="004E0F02">
        <w:t>;</w:t>
      </w:r>
    </w:p>
    <w:p w14:paraId="44DCFB92" w14:textId="63E78EAC" w:rsidR="00EF28B7" w:rsidRPr="004E0F02" w:rsidRDefault="00EF28B7" w:rsidP="00EF28B7">
      <w:pPr>
        <w:pStyle w:val="PKTpunkt"/>
      </w:pPr>
      <w:r w:rsidRPr="004E0F02">
        <w:t>3)</w:t>
      </w:r>
      <w:r w:rsidRPr="004E0F02">
        <w:tab/>
        <w:t>uchyla się</w:t>
      </w:r>
      <w:r w:rsidR="00E45B1D" w:rsidRPr="004E0F02">
        <w:t xml:space="preserve"> </w:t>
      </w:r>
      <w:r w:rsidR="00C53A5E" w:rsidRPr="004E0F02">
        <w:t xml:space="preserve">art. 1 ust. 3 oraz </w:t>
      </w:r>
      <w:r w:rsidR="00E45B1D" w:rsidRPr="004E0F02">
        <w:t>art. </w:t>
      </w:r>
      <w:r w:rsidRPr="004E0F02">
        <w:t>9a</w:t>
      </w:r>
      <w:r w:rsidR="00DD6B74" w:rsidRPr="004E0F02">
        <w:t>–</w:t>
      </w:r>
      <w:r w:rsidRPr="004E0F02">
        <w:t>9</w:t>
      </w:r>
      <w:r w:rsidR="00D06CB9" w:rsidRPr="004E0F02">
        <w:t>e</w:t>
      </w:r>
      <w:r w:rsidR="00234415" w:rsidRPr="004E0F02">
        <w:t>.</w:t>
      </w:r>
    </w:p>
    <w:p w14:paraId="6FA671EF" w14:textId="560884F7" w:rsidR="00207EB2" w:rsidRPr="004E0F02" w:rsidRDefault="00207EB2" w:rsidP="00207EB2">
      <w:pPr>
        <w:pStyle w:val="ARTartustawynprozporzdzenia"/>
      </w:pPr>
      <w:r w:rsidRPr="004E0F02">
        <w:rPr>
          <w:rStyle w:val="Ppogrubienie"/>
        </w:rPr>
        <w:t>Art. </w:t>
      </w:r>
      <w:r w:rsidR="00225724" w:rsidRPr="004E0F02">
        <w:rPr>
          <w:rStyle w:val="Ppogrubienie"/>
        </w:rPr>
        <w:t>54</w:t>
      </w:r>
      <w:r w:rsidRPr="004E0F02">
        <w:rPr>
          <w:rStyle w:val="Ppogrubienie"/>
        </w:rPr>
        <w:t>.</w:t>
      </w:r>
      <w:r w:rsidRPr="004E0F02">
        <w:t> W ustawie z dnia 17 lutego 2005 r. o informatyzacji działalności podmiotów realizujących zadania publiczne (</w:t>
      </w:r>
      <w:r w:rsidR="00E45B1D" w:rsidRPr="004E0F02">
        <w:t>Dz. U.</w:t>
      </w:r>
      <w:r w:rsidRPr="004E0F02">
        <w:t xml:space="preserve"> z 2020 r.</w:t>
      </w:r>
      <w:r w:rsidR="00E45B1D" w:rsidRPr="004E0F02">
        <w:t xml:space="preserve"> poz. </w:t>
      </w:r>
      <w:r w:rsidRPr="004E0F02">
        <w:t>346,</w:t>
      </w:r>
      <w:r w:rsidR="00A64533" w:rsidRPr="004E0F02">
        <w:t xml:space="preserve"> </w:t>
      </w:r>
      <w:r w:rsidRPr="004E0F02">
        <w:t>56</w:t>
      </w:r>
      <w:r w:rsidR="00E45B1D" w:rsidRPr="004E0F02">
        <w:t>8</w:t>
      </w:r>
      <w:r w:rsidR="00234415" w:rsidRPr="004E0F02">
        <w:t>,</w:t>
      </w:r>
      <w:r w:rsidR="00E45B1D" w:rsidRPr="004E0F02">
        <w:t xml:space="preserve"> </w:t>
      </w:r>
      <w:r w:rsidRPr="004E0F02">
        <w:t>695</w:t>
      </w:r>
      <w:r w:rsidR="00234415" w:rsidRPr="004E0F02">
        <w:t xml:space="preserve"> i 1517</w:t>
      </w:r>
      <w:r w:rsidRPr="004E0F02">
        <w:t>)</w:t>
      </w:r>
      <w:r w:rsidR="00E45B1D" w:rsidRPr="004E0F02">
        <w:t xml:space="preserve"> w art. </w:t>
      </w:r>
      <w:r w:rsidRPr="004E0F02">
        <w:t>1</w:t>
      </w:r>
      <w:r w:rsidR="00E45B1D" w:rsidRPr="004E0F02">
        <w:t xml:space="preserve">5 </w:t>
      </w:r>
      <w:r w:rsidR="00E45B1D" w:rsidRPr="004E0F02">
        <w:lastRenderedPageBreak/>
        <w:t>ust. </w:t>
      </w:r>
      <w:r w:rsidRPr="004E0F02">
        <w:t xml:space="preserve">4 wyrazy </w:t>
      </w:r>
      <w:r w:rsidR="00E45B1D" w:rsidRPr="004E0F02">
        <w:t>„</w:t>
      </w:r>
      <w:r w:rsidRPr="004E0F02">
        <w:t>ustawie z dnia 25 lutego 2016 r. o ponownym wykorzystywaniu informacji sektora publicznego (</w:t>
      </w:r>
      <w:r w:rsidR="00E45B1D" w:rsidRPr="004E0F02">
        <w:t>Dz. U.</w:t>
      </w:r>
      <w:r w:rsidRPr="004E0F02">
        <w:t xml:space="preserve"> z 2019 r.</w:t>
      </w:r>
      <w:r w:rsidR="00E45B1D" w:rsidRPr="004E0F02">
        <w:t xml:space="preserve"> poz. </w:t>
      </w:r>
      <w:r w:rsidRPr="004E0F02">
        <w:t>1446)</w:t>
      </w:r>
      <w:r w:rsidR="00E45B1D" w:rsidRPr="004E0F02">
        <w:t>”</w:t>
      </w:r>
      <w:r w:rsidRPr="004E0F02">
        <w:t xml:space="preserve"> zastępuje się wyrazami </w:t>
      </w:r>
      <w:r w:rsidR="00E45B1D" w:rsidRPr="004E0F02">
        <w:t>„</w:t>
      </w:r>
      <w:r w:rsidRPr="004E0F02">
        <w:t>ustawie z dnia … o otwartych danych i ponownym wykorzystywaniu informacji sektora publicznego (</w:t>
      </w:r>
      <w:r w:rsidR="00E45B1D" w:rsidRPr="004E0F02">
        <w:t>Dz. U. poz. </w:t>
      </w:r>
      <w:r w:rsidRPr="004E0F02">
        <w:t>…)</w:t>
      </w:r>
      <w:r w:rsidR="00E45B1D" w:rsidRPr="004E0F02">
        <w:t>”</w:t>
      </w:r>
      <w:r w:rsidRPr="004E0F02">
        <w:t>.</w:t>
      </w:r>
    </w:p>
    <w:p w14:paraId="1BF0363C" w14:textId="08D69587" w:rsidR="00AD4CAB" w:rsidRPr="004E0F02" w:rsidRDefault="00AD4CAB" w:rsidP="00AD4CAB">
      <w:pPr>
        <w:pStyle w:val="ARTartustawynprozporzdzenia"/>
      </w:pPr>
      <w:r w:rsidRPr="004E0F02">
        <w:rPr>
          <w:b/>
        </w:rPr>
        <w:t>Art. 5</w:t>
      </w:r>
      <w:r w:rsidR="00225724" w:rsidRPr="004E0F02">
        <w:rPr>
          <w:b/>
        </w:rPr>
        <w:t>5</w:t>
      </w:r>
      <w:r w:rsidRPr="004E0F02">
        <w:rPr>
          <w:b/>
        </w:rPr>
        <w:t>.</w:t>
      </w:r>
      <w:r w:rsidRPr="004E0F02">
        <w:t xml:space="preserve"> W ustawie z dnia z dnia 8 września 2006 r</w:t>
      </w:r>
      <w:r w:rsidR="000B0C3B" w:rsidRPr="004E0F02">
        <w:t>.</w:t>
      </w:r>
      <w:r w:rsidRPr="004E0F02">
        <w:t xml:space="preserve"> o Państwowym Ratownictwie Medycznym (Dz. U. z 2020 r. poz. 882</w:t>
      </w:r>
      <w:r w:rsidR="00234415" w:rsidRPr="004E0F02">
        <w:t xml:space="preserve"> i 2112</w:t>
      </w:r>
      <w:r w:rsidRPr="004E0F02">
        <w:t>) wprowadza się następujące zmiany:</w:t>
      </w:r>
    </w:p>
    <w:p w14:paraId="6E0B3F4A" w14:textId="4BF6F9C8" w:rsidR="00AD4CAB" w:rsidRPr="004E0F02" w:rsidRDefault="00AD4CAB" w:rsidP="00AD4CAB">
      <w:pPr>
        <w:pStyle w:val="PKTpunkt"/>
      </w:pPr>
      <w:r w:rsidRPr="004E0F02">
        <w:t>1)</w:t>
      </w:r>
      <w:r w:rsidRPr="004E0F02">
        <w:tab/>
        <w:t>w art. 21 ust. 16</w:t>
      </w:r>
      <w:r w:rsidR="000B0C3B" w:rsidRPr="004E0F02">
        <w:t>a</w:t>
      </w:r>
      <w:r w:rsidRPr="004E0F02">
        <w:t xml:space="preserve"> wyrazy „ustawy z dnia 25 lutego 2016 r. o ponownym wykorzystywaniu informacji sektora publicznego (Dz. U. z 2019 r. poz. 1446)” zastępuje się wyrazami „ustawy z dnia … o otwartych danych i ponownym wykorzystywaniu informacji sektora publicznego (Dz. U. poz. …)” oraz wyraz „udostępnieniu” zastępuje się wyrazem „udostępnianiu”;</w:t>
      </w:r>
    </w:p>
    <w:p w14:paraId="2FE1B706" w14:textId="45593ABF" w:rsidR="001839B2" w:rsidRPr="004E0F02" w:rsidRDefault="00AD4CAB" w:rsidP="000E5306">
      <w:pPr>
        <w:pStyle w:val="PKTpunkt"/>
      </w:pPr>
      <w:r w:rsidRPr="004E0F02">
        <w:t>2)</w:t>
      </w:r>
      <w:r w:rsidRPr="004E0F02">
        <w:tab/>
        <w:t xml:space="preserve">w art. 25a ust. </w:t>
      </w:r>
      <w:r w:rsidR="000356DB" w:rsidRPr="004E0F02">
        <w:t>4</w:t>
      </w:r>
      <w:r w:rsidRPr="004E0F02">
        <w:t xml:space="preserve"> wyrazy „ustawy z dnia 25 lutego 2016 r. o ponownym wykorzystywaniu informacji sektora publicznego (Dz. U. z 2019 r. poz. 1446)” zastępuje się wyrazami „ustawy z dnia … o otwartych danych i ponownym wykorzystywaniu informacji sektora publicznego (Dz. U. poz. …)” oraz wyraz „udostępnieniu” zastęp</w:t>
      </w:r>
      <w:r w:rsidR="000356DB" w:rsidRPr="004E0F02">
        <w:t>uje się wyrazem „udostępnianiu”.</w:t>
      </w:r>
    </w:p>
    <w:p w14:paraId="03A4A103" w14:textId="01373242" w:rsidR="000D30EE" w:rsidRPr="004E0F02" w:rsidRDefault="00207EB2" w:rsidP="000D30EE">
      <w:pPr>
        <w:pStyle w:val="ARTartustawynprozporzdzenia"/>
        <w:keepNext/>
      </w:pPr>
      <w:r w:rsidRPr="004E0F02">
        <w:rPr>
          <w:rStyle w:val="Ppogrubienie"/>
        </w:rPr>
        <w:t>Art. </w:t>
      </w:r>
      <w:r w:rsidR="001F2CA5" w:rsidRPr="004E0F02">
        <w:rPr>
          <w:rStyle w:val="Ppogrubienie"/>
        </w:rPr>
        <w:t>5</w:t>
      </w:r>
      <w:r w:rsidR="00225724" w:rsidRPr="004E0F02">
        <w:rPr>
          <w:rStyle w:val="Ppogrubienie"/>
        </w:rPr>
        <w:t>6</w:t>
      </w:r>
      <w:r w:rsidRPr="004E0F02">
        <w:rPr>
          <w:rStyle w:val="Ppogrubienie"/>
        </w:rPr>
        <w:t>.</w:t>
      </w:r>
      <w:r w:rsidRPr="004E0F02">
        <w:t> W ustawie z dnia 24 września 2010 r. o ewidencji ludności (</w:t>
      </w:r>
      <w:r w:rsidR="00E45B1D" w:rsidRPr="004E0F02">
        <w:t>Dz. U.</w:t>
      </w:r>
      <w:r w:rsidRPr="004E0F02">
        <w:t xml:space="preserve"> z 2019 r.</w:t>
      </w:r>
      <w:r w:rsidR="00E45B1D" w:rsidRPr="004E0F02">
        <w:t xml:space="preserve"> poz. </w:t>
      </w:r>
      <w:r w:rsidRPr="004E0F02">
        <w:t>139</w:t>
      </w:r>
      <w:r w:rsidR="00E45B1D" w:rsidRPr="004E0F02">
        <w:t>7 i </w:t>
      </w:r>
      <w:r w:rsidRPr="004E0F02">
        <w:t>229</w:t>
      </w:r>
      <w:r w:rsidR="00E45B1D" w:rsidRPr="004E0F02">
        <w:t>4 oraz</w:t>
      </w:r>
      <w:r w:rsidR="00253761" w:rsidRPr="004E0F02">
        <w:t xml:space="preserve"> z </w:t>
      </w:r>
      <w:r w:rsidRPr="004E0F02">
        <w:t>202</w:t>
      </w:r>
      <w:r w:rsidR="00253761" w:rsidRPr="004E0F02">
        <w:t>0 </w:t>
      </w:r>
      <w:r w:rsidRPr="004E0F02">
        <w:t>r.</w:t>
      </w:r>
      <w:r w:rsidR="00E45B1D" w:rsidRPr="004E0F02">
        <w:t xml:space="preserve"> poz. </w:t>
      </w:r>
      <w:r w:rsidRPr="004E0F02">
        <w:t>695)</w:t>
      </w:r>
      <w:r w:rsidR="00E45B1D" w:rsidRPr="004E0F02">
        <w:t xml:space="preserve"> w art. </w:t>
      </w:r>
      <w:r w:rsidRPr="004E0F02">
        <w:t>4</w:t>
      </w:r>
      <w:r w:rsidR="00E45B1D" w:rsidRPr="004E0F02">
        <w:t>6 ust. </w:t>
      </w:r>
      <w:r w:rsidRPr="004E0F02">
        <w:t xml:space="preserve">3 wyrazy </w:t>
      </w:r>
      <w:r w:rsidR="00E45B1D" w:rsidRPr="004E0F02">
        <w:t>„</w:t>
      </w:r>
      <w:r w:rsidRPr="004E0F02">
        <w:t>ustawie z dnia 25 lutego 2016 r. o ponownym wykorzystywaniu informacji sektora publicznego (</w:t>
      </w:r>
      <w:r w:rsidR="00E45B1D" w:rsidRPr="004E0F02">
        <w:t>Dz. U.</w:t>
      </w:r>
      <w:r w:rsidRPr="004E0F02">
        <w:t xml:space="preserve"> z 2018 r.</w:t>
      </w:r>
      <w:r w:rsidR="00E45B1D" w:rsidRPr="004E0F02">
        <w:t xml:space="preserve"> poz. </w:t>
      </w:r>
      <w:r w:rsidRPr="004E0F02">
        <w:t>124</w:t>
      </w:r>
      <w:r w:rsidR="00E45B1D" w:rsidRPr="004E0F02">
        <w:t>3 i </w:t>
      </w:r>
      <w:r w:rsidRPr="004E0F02">
        <w:t>166</w:t>
      </w:r>
      <w:r w:rsidR="00E45B1D" w:rsidRPr="004E0F02">
        <w:t>9 oraz</w:t>
      </w:r>
      <w:r w:rsidRPr="004E0F02">
        <w:t xml:space="preserve"> z 2019 r.</w:t>
      </w:r>
      <w:r w:rsidR="00E45B1D" w:rsidRPr="004E0F02">
        <w:t xml:space="preserve"> poz. </w:t>
      </w:r>
      <w:r w:rsidRPr="004E0F02">
        <w:t>730)</w:t>
      </w:r>
      <w:r w:rsidR="00E45B1D" w:rsidRPr="004E0F02">
        <w:t>”</w:t>
      </w:r>
      <w:r w:rsidRPr="004E0F02">
        <w:t xml:space="preserve"> zastępuje się wyrazami </w:t>
      </w:r>
      <w:r w:rsidR="00E45B1D" w:rsidRPr="004E0F02">
        <w:t>„</w:t>
      </w:r>
      <w:r w:rsidRPr="004E0F02">
        <w:t>ustawie z dnia … o otwartych danych i ponownym wykorzystywaniu informacji sektora publicznego (</w:t>
      </w:r>
      <w:r w:rsidR="00E45B1D" w:rsidRPr="004E0F02">
        <w:t>Dz. U. poz. </w:t>
      </w:r>
      <w:r w:rsidRPr="004E0F02">
        <w:t>…)</w:t>
      </w:r>
      <w:r w:rsidR="00E45B1D" w:rsidRPr="004E0F02">
        <w:t>”</w:t>
      </w:r>
      <w:r w:rsidRPr="004E0F02">
        <w:t>.</w:t>
      </w:r>
    </w:p>
    <w:p w14:paraId="00238143" w14:textId="50087FE5" w:rsidR="001F384B" w:rsidRPr="004E0F02" w:rsidRDefault="00207EB2" w:rsidP="00207EB2">
      <w:pPr>
        <w:pStyle w:val="ARTartustawynprozporzdzenia"/>
      </w:pPr>
      <w:r w:rsidRPr="004E0F02">
        <w:rPr>
          <w:rStyle w:val="Ppogrubienie"/>
        </w:rPr>
        <w:t>Art. </w:t>
      </w:r>
      <w:r w:rsidR="001F2CA5" w:rsidRPr="004E0F02">
        <w:rPr>
          <w:rStyle w:val="Ppogrubienie"/>
        </w:rPr>
        <w:t>5</w:t>
      </w:r>
      <w:r w:rsidR="00225724" w:rsidRPr="004E0F02">
        <w:rPr>
          <w:rStyle w:val="Ppogrubienie"/>
        </w:rPr>
        <w:t>7</w:t>
      </w:r>
      <w:r w:rsidRPr="004E0F02">
        <w:rPr>
          <w:rStyle w:val="Ppogrubienie"/>
        </w:rPr>
        <w:t>.</w:t>
      </w:r>
      <w:r w:rsidRPr="004E0F02">
        <w:t> W ustawie z dnia 20 lipca 2017 r. – Prawo wodne (</w:t>
      </w:r>
      <w:r w:rsidR="00E45B1D" w:rsidRPr="004E0F02">
        <w:t>Dz. U.</w:t>
      </w:r>
      <w:r w:rsidRPr="004E0F02">
        <w:t xml:space="preserve"> z 2020 r.</w:t>
      </w:r>
      <w:r w:rsidR="00E45B1D" w:rsidRPr="004E0F02">
        <w:t xml:space="preserve"> poz. </w:t>
      </w:r>
      <w:r w:rsidRPr="004E0F02">
        <w:t>31</w:t>
      </w:r>
      <w:r w:rsidR="00AF626C" w:rsidRPr="004E0F02">
        <w:t>0</w:t>
      </w:r>
      <w:r w:rsidR="00753651" w:rsidRPr="004E0F02">
        <w:t xml:space="preserve">, </w:t>
      </w:r>
      <w:r w:rsidRPr="004E0F02">
        <w:t>695</w:t>
      </w:r>
      <w:r w:rsidR="00753651" w:rsidRPr="004E0F02">
        <w:t>, 78</w:t>
      </w:r>
      <w:r w:rsidR="00E45B1D" w:rsidRPr="004E0F02">
        <w:t>2 i </w:t>
      </w:r>
      <w:r w:rsidR="00753651" w:rsidRPr="004E0F02">
        <w:t>875</w:t>
      </w:r>
      <w:r w:rsidR="000356DB" w:rsidRPr="004E0F02">
        <w:t xml:space="preserve"> i 1378</w:t>
      </w:r>
      <w:r w:rsidRPr="004E0F02">
        <w:t>)</w:t>
      </w:r>
      <w:r w:rsidR="00E45B1D" w:rsidRPr="004E0F02">
        <w:t xml:space="preserve"> </w:t>
      </w:r>
      <w:r w:rsidR="001F384B" w:rsidRPr="004E0F02">
        <w:t xml:space="preserve">wprowadza się następujące zmiany: </w:t>
      </w:r>
    </w:p>
    <w:p w14:paraId="6548DA84" w14:textId="0A85ACC6" w:rsidR="001F384B" w:rsidRPr="004E0F02" w:rsidRDefault="001F384B" w:rsidP="001F384B">
      <w:pPr>
        <w:pStyle w:val="PKTpunkt"/>
      </w:pPr>
      <w:r w:rsidRPr="004E0F02">
        <w:t>1)</w:t>
      </w:r>
      <w:r w:rsidRPr="004E0F02">
        <w:tab/>
        <w:t>w art. 385 po ust. 5 dodaje się ust. 6 w brzmieniu:</w:t>
      </w:r>
    </w:p>
    <w:p w14:paraId="56611DE2" w14:textId="619BAE70" w:rsidR="001F384B" w:rsidRPr="004E0F02" w:rsidRDefault="001F384B" w:rsidP="001F384B">
      <w:pPr>
        <w:pStyle w:val="ZUSTzmustartykuempunktem"/>
      </w:pPr>
      <w:r w:rsidRPr="004E0F02">
        <w:t xml:space="preserve">„6. Przepisu ust. 5 nie stosuje się do informacji stanowiących dane o wysokiej wartości określonych w przepisach wydanych na podstawie art. </w:t>
      </w:r>
      <w:r w:rsidR="005C1A0B" w:rsidRPr="004E0F02">
        <w:t>27</w:t>
      </w:r>
      <w:r w:rsidRPr="004E0F02">
        <w:t xml:space="preserve"> ustawy</w:t>
      </w:r>
      <w:r w:rsidR="001839B2" w:rsidRPr="004E0F02">
        <w:t xml:space="preserve"> z dnia… o </w:t>
      </w:r>
      <w:r w:rsidRPr="004E0F02">
        <w:t>otwartych danych i ponownym wykorzystywaniu informacji sektora publicznego (Dz. U. poz…)”</w:t>
      </w:r>
    </w:p>
    <w:p w14:paraId="1056B90F" w14:textId="3D9019CF" w:rsidR="00207EB2" w:rsidRPr="004E0F02" w:rsidRDefault="001F384B" w:rsidP="001F384B">
      <w:pPr>
        <w:pStyle w:val="PKTpunkt"/>
      </w:pPr>
      <w:r w:rsidRPr="004E0F02">
        <w:t>2)</w:t>
      </w:r>
      <w:r w:rsidRPr="004E0F02">
        <w:tab/>
      </w:r>
      <w:r w:rsidR="00E45B1D" w:rsidRPr="004E0F02">
        <w:t>w art. </w:t>
      </w:r>
      <w:r w:rsidR="00207EB2" w:rsidRPr="004E0F02">
        <w:t>38</w:t>
      </w:r>
      <w:r w:rsidR="00E45B1D" w:rsidRPr="004E0F02">
        <w:t>6 ust. </w:t>
      </w:r>
      <w:r w:rsidR="00207EB2" w:rsidRPr="004E0F02">
        <w:t xml:space="preserve">3 wyrazy </w:t>
      </w:r>
      <w:r w:rsidR="00E45B1D" w:rsidRPr="004E0F02">
        <w:t>„</w:t>
      </w:r>
      <w:r w:rsidR="00207EB2" w:rsidRPr="004E0F02">
        <w:t>ustawy z dnia 25 lutego 2016 r. o ponownym wykorzystywaniu informacji sektora publicznego (</w:t>
      </w:r>
      <w:r w:rsidR="00E45B1D" w:rsidRPr="004E0F02">
        <w:t>Dz. U.</w:t>
      </w:r>
      <w:r w:rsidR="00207EB2" w:rsidRPr="004E0F02">
        <w:t xml:space="preserve"> z 2019 r.</w:t>
      </w:r>
      <w:r w:rsidR="00E45B1D" w:rsidRPr="004E0F02">
        <w:t xml:space="preserve"> poz. </w:t>
      </w:r>
      <w:r w:rsidR="00207EB2" w:rsidRPr="004E0F02">
        <w:t>1446)</w:t>
      </w:r>
      <w:r w:rsidR="00E45B1D" w:rsidRPr="004E0F02">
        <w:t>”</w:t>
      </w:r>
      <w:r w:rsidR="00207EB2" w:rsidRPr="004E0F02">
        <w:t xml:space="preserve"> zastępuje się wyrazami </w:t>
      </w:r>
      <w:r w:rsidR="00E45B1D" w:rsidRPr="004E0F02">
        <w:lastRenderedPageBreak/>
        <w:t>„</w:t>
      </w:r>
      <w:r w:rsidR="00207EB2" w:rsidRPr="004E0F02">
        <w:t>ustawy z dnia … o otwartych danych i ponownym wykorzystywaniu informacji sektora publicznego</w:t>
      </w:r>
      <w:r w:rsidR="00E45B1D" w:rsidRPr="004E0F02">
        <w:t>”</w:t>
      </w:r>
      <w:r w:rsidR="00207EB2" w:rsidRPr="004E0F02">
        <w:t>.</w:t>
      </w:r>
    </w:p>
    <w:p w14:paraId="418EC733" w14:textId="3000B76C" w:rsidR="000D30EE" w:rsidRPr="004E0F02" w:rsidRDefault="000D30EE" w:rsidP="000D30EE">
      <w:pPr>
        <w:pStyle w:val="ARTartustawynprozporzdzenia"/>
      </w:pPr>
      <w:r w:rsidRPr="004E0F02">
        <w:rPr>
          <w:b/>
        </w:rPr>
        <w:t>Art. 5</w:t>
      </w:r>
      <w:r w:rsidR="00225724" w:rsidRPr="004E0F02">
        <w:rPr>
          <w:b/>
        </w:rPr>
        <w:t>8</w:t>
      </w:r>
      <w:r w:rsidRPr="004E0F02">
        <w:t>. W ustawie z dnia 24 listopada 2017 r. o imprezach turystycznych i powiązanych usługach turystycznych (Dz. U. z 20</w:t>
      </w:r>
      <w:r w:rsidR="000356DB" w:rsidRPr="004E0F02">
        <w:t>20</w:t>
      </w:r>
      <w:r w:rsidRPr="004E0F02">
        <w:t xml:space="preserve"> r., poz. </w:t>
      </w:r>
      <w:r w:rsidR="000356DB" w:rsidRPr="004E0F02">
        <w:t>2139</w:t>
      </w:r>
      <w:r w:rsidRPr="004E0F02">
        <w:t>) w art. 29 ust. 6 wyrazy „ustawy z dnia 25 lutego 2016 r. o ponownym wykorzystywaniu informacji sektora publicznego (Dz. U. z 2019 r. poz. 1446)” zastępuje się wyrazami „ustawy z dnia … o otwartych danych i ponownym wykorzystywaniu informacji sektora publicznego (Dz. U. poz. …)”.</w:t>
      </w:r>
    </w:p>
    <w:p w14:paraId="6A0627D9" w14:textId="5C3AF443" w:rsidR="00EF28B7" w:rsidRPr="004E0F02" w:rsidRDefault="00EF28B7" w:rsidP="00E45B1D">
      <w:pPr>
        <w:pStyle w:val="ARTartustawynprozporzdzenia"/>
        <w:keepNext/>
      </w:pPr>
      <w:r w:rsidRPr="004E0F02">
        <w:rPr>
          <w:rStyle w:val="Ppogrubienie"/>
        </w:rPr>
        <w:t>Art. </w:t>
      </w:r>
      <w:r w:rsidR="001F2CA5" w:rsidRPr="004E0F02">
        <w:rPr>
          <w:rStyle w:val="Ppogrubienie"/>
        </w:rPr>
        <w:t>5</w:t>
      </w:r>
      <w:r w:rsidR="00225724" w:rsidRPr="004E0F02">
        <w:rPr>
          <w:rStyle w:val="Ppogrubienie"/>
        </w:rPr>
        <w:t>9</w:t>
      </w:r>
      <w:r w:rsidRPr="004E0F02">
        <w:rPr>
          <w:rStyle w:val="Ppogrubienie"/>
        </w:rPr>
        <w:t>.</w:t>
      </w:r>
      <w:r w:rsidR="003F3502" w:rsidRPr="004E0F02">
        <w:t> W </w:t>
      </w:r>
      <w:r w:rsidRPr="004E0F02">
        <w:t>ustawie</w:t>
      </w:r>
      <w:r w:rsidR="003F3502" w:rsidRPr="004E0F02">
        <w:t xml:space="preserve"> z </w:t>
      </w:r>
      <w:r w:rsidRPr="004E0F02">
        <w:t xml:space="preserve">dnia </w:t>
      </w:r>
      <w:r w:rsidR="003F3502" w:rsidRPr="004E0F02">
        <w:t>6 </w:t>
      </w:r>
      <w:r w:rsidRPr="004E0F02">
        <w:t>marca 201</w:t>
      </w:r>
      <w:r w:rsidR="003F3502" w:rsidRPr="004E0F02">
        <w:t>8 </w:t>
      </w:r>
      <w:r w:rsidRPr="004E0F02">
        <w:t>r.</w:t>
      </w:r>
      <w:r w:rsidR="003F3502" w:rsidRPr="004E0F02">
        <w:t xml:space="preserve"> o </w:t>
      </w:r>
      <w:r w:rsidRPr="004E0F02">
        <w:t>Centralnej Ewidencji</w:t>
      </w:r>
      <w:r w:rsidR="003F3502" w:rsidRPr="004E0F02">
        <w:t xml:space="preserve"> i </w:t>
      </w:r>
      <w:r w:rsidRPr="004E0F02">
        <w:t>Informacji o Działalności Gospodarczej</w:t>
      </w:r>
      <w:r w:rsidR="003F3502" w:rsidRPr="004E0F02">
        <w:t xml:space="preserve"> i </w:t>
      </w:r>
      <w:r w:rsidRPr="004E0F02">
        <w:t>Punkcie Informacji dla Przedsiębiorcy (</w:t>
      </w:r>
      <w:r w:rsidR="00E45B1D" w:rsidRPr="004E0F02">
        <w:t>Dz. U.</w:t>
      </w:r>
      <w:r w:rsidR="003F3502" w:rsidRPr="004E0F02">
        <w:t xml:space="preserve"> z </w:t>
      </w:r>
      <w:r w:rsidRPr="004E0F02">
        <w:t>201</w:t>
      </w:r>
      <w:r w:rsidR="003F3502" w:rsidRPr="004E0F02">
        <w:t>9 </w:t>
      </w:r>
      <w:r w:rsidRPr="004E0F02">
        <w:t>r.</w:t>
      </w:r>
      <w:r w:rsidR="00E45B1D" w:rsidRPr="004E0F02">
        <w:t xml:space="preserve"> poz. </w:t>
      </w:r>
      <w:r w:rsidRPr="004E0F02">
        <w:t>1291, 149</w:t>
      </w:r>
      <w:r w:rsidR="00E45B1D" w:rsidRPr="004E0F02">
        <w:t>5 i </w:t>
      </w:r>
      <w:r w:rsidRPr="004E0F02">
        <w:t>1649) wprowadza się następujące zmiany:</w:t>
      </w:r>
    </w:p>
    <w:p w14:paraId="4093F9DA" w14:textId="77777777" w:rsidR="001839B2" w:rsidRPr="004E0F02" w:rsidRDefault="00EF28B7" w:rsidP="001839B2">
      <w:pPr>
        <w:pStyle w:val="PKTpunkt"/>
      </w:pPr>
      <w:r w:rsidRPr="004E0F02">
        <w:t>1)</w:t>
      </w:r>
      <w:r w:rsidRPr="004E0F02">
        <w:tab/>
        <w:t>w</w:t>
      </w:r>
      <w:r w:rsidR="00E45B1D" w:rsidRPr="004E0F02">
        <w:t xml:space="preserve"> art. </w:t>
      </w:r>
      <w:r w:rsidRPr="004E0F02">
        <w:t>4</w:t>
      </w:r>
      <w:r w:rsidR="00E45B1D" w:rsidRPr="004E0F02">
        <w:t>7 ust. </w:t>
      </w:r>
      <w:r w:rsidR="003F3502" w:rsidRPr="004E0F02">
        <w:t>2 </w:t>
      </w:r>
      <w:r w:rsidRPr="004E0F02">
        <w:t xml:space="preserve">wyrazy </w:t>
      </w:r>
      <w:r w:rsidR="00E45B1D" w:rsidRPr="004E0F02">
        <w:t>„</w:t>
      </w:r>
      <w:r w:rsidRPr="004E0F02">
        <w:t>ustawy</w:t>
      </w:r>
      <w:r w:rsidR="003F3502" w:rsidRPr="004E0F02">
        <w:t xml:space="preserve"> z </w:t>
      </w:r>
      <w:r w:rsidRPr="004E0F02">
        <w:t>dnia 2</w:t>
      </w:r>
      <w:r w:rsidR="003F3502" w:rsidRPr="004E0F02">
        <w:t>5 </w:t>
      </w:r>
      <w:r w:rsidRPr="004E0F02">
        <w:t>lutego 201</w:t>
      </w:r>
      <w:r w:rsidR="003F3502" w:rsidRPr="004E0F02">
        <w:t>6 </w:t>
      </w:r>
      <w:r w:rsidRPr="004E0F02">
        <w:t>r.</w:t>
      </w:r>
      <w:r w:rsidR="003F3502" w:rsidRPr="004E0F02">
        <w:t xml:space="preserve"> o </w:t>
      </w:r>
      <w:r w:rsidRPr="004E0F02">
        <w:t>ponownym wykorzystywaniu informacji sektora publicznego (</w:t>
      </w:r>
      <w:r w:rsidR="00E45B1D" w:rsidRPr="004E0F02">
        <w:t>Dz. U.</w:t>
      </w:r>
      <w:r w:rsidR="003F3502" w:rsidRPr="004E0F02">
        <w:t xml:space="preserve"> z </w:t>
      </w:r>
      <w:r w:rsidRPr="004E0F02">
        <w:t>201</w:t>
      </w:r>
      <w:r w:rsidR="003F3502" w:rsidRPr="004E0F02">
        <w:t>8 </w:t>
      </w:r>
      <w:r w:rsidRPr="004E0F02">
        <w:t>r.</w:t>
      </w:r>
      <w:r w:rsidR="00E45B1D" w:rsidRPr="004E0F02">
        <w:t xml:space="preserve"> poz. </w:t>
      </w:r>
      <w:r w:rsidRPr="004E0F02">
        <w:t>124</w:t>
      </w:r>
      <w:r w:rsidR="00E45B1D" w:rsidRPr="004E0F02">
        <w:t>3 i </w:t>
      </w:r>
      <w:r w:rsidRPr="004E0F02">
        <w:t>166</w:t>
      </w:r>
      <w:r w:rsidR="00E45B1D" w:rsidRPr="004E0F02">
        <w:t>9 oraz</w:t>
      </w:r>
      <w:r w:rsidR="003F3502" w:rsidRPr="004E0F02">
        <w:t xml:space="preserve"> z </w:t>
      </w:r>
      <w:r w:rsidRPr="004E0F02">
        <w:t>201</w:t>
      </w:r>
      <w:r w:rsidR="003F3502" w:rsidRPr="004E0F02">
        <w:t>9 </w:t>
      </w:r>
      <w:r w:rsidRPr="004E0F02">
        <w:t>r.</w:t>
      </w:r>
      <w:r w:rsidR="00E45B1D" w:rsidRPr="004E0F02">
        <w:t xml:space="preserve"> poz. </w:t>
      </w:r>
      <w:r w:rsidRPr="004E0F02">
        <w:t>730)</w:t>
      </w:r>
      <w:r w:rsidR="00E45B1D" w:rsidRPr="004E0F02">
        <w:t>”</w:t>
      </w:r>
      <w:r w:rsidRPr="004E0F02">
        <w:t xml:space="preserve"> zastępuje się wyrazami </w:t>
      </w:r>
      <w:r w:rsidR="00E45B1D" w:rsidRPr="004E0F02">
        <w:t>„</w:t>
      </w:r>
      <w:r w:rsidRPr="004E0F02">
        <w:t>ustawy</w:t>
      </w:r>
      <w:r w:rsidR="003F3502" w:rsidRPr="004E0F02">
        <w:t xml:space="preserve"> z </w:t>
      </w:r>
      <w:r w:rsidRPr="004E0F02">
        <w:t>dnia …</w:t>
      </w:r>
      <w:r w:rsidR="003F3502" w:rsidRPr="004E0F02">
        <w:t xml:space="preserve"> o </w:t>
      </w:r>
      <w:r w:rsidRPr="004E0F02">
        <w:t>otwartych danych</w:t>
      </w:r>
      <w:r w:rsidR="003F3502" w:rsidRPr="004E0F02">
        <w:t xml:space="preserve"> i </w:t>
      </w:r>
      <w:r w:rsidRPr="004E0F02">
        <w:t>ponownym wykorzystywaniu informacji sektora publicznego (</w:t>
      </w:r>
      <w:r w:rsidR="00E45B1D" w:rsidRPr="004E0F02">
        <w:t>Dz. U. poz. </w:t>
      </w:r>
      <w:r w:rsidRPr="004E0F02">
        <w:t>…)</w:t>
      </w:r>
      <w:r w:rsidR="00E45B1D" w:rsidRPr="004E0F02">
        <w:t>”</w:t>
      </w:r>
      <w:r w:rsidRPr="004E0F02">
        <w:t>;</w:t>
      </w:r>
    </w:p>
    <w:p w14:paraId="1CB07511" w14:textId="07E4F8B0" w:rsidR="00EF28B7" w:rsidRPr="004E0F02" w:rsidRDefault="00EF28B7" w:rsidP="001839B2">
      <w:pPr>
        <w:pStyle w:val="PKTpunkt"/>
      </w:pPr>
      <w:r w:rsidRPr="004E0F02">
        <w:t>2)</w:t>
      </w:r>
      <w:r w:rsidRPr="004E0F02">
        <w:tab/>
        <w:t>w</w:t>
      </w:r>
      <w:r w:rsidR="00E45B1D" w:rsidRPr="004E0F02">
        <w:t xml:space="preserve"> art. </w:t>
      </w:r>
      <w:r w:rsidRPr="004E0F02">
        <w:t>4</w:t>
      </w:r>
      <w:r w:rsidR="00E45B1D" w:rsidRPr="004E0F02">
        <w:t>8 ust. </w:t>
      </w:r>
      <w:r w:rsidR="003F3502" w:rsidRPr="004E0F02">
        <w:t>3 </w:t>
      </w:r>
      <w:r w:rsidRPr="004E0F02">
        <w:t xml:space="preserve">wyrazy </w:t>
      </w:r>
      <w:r w:rsidR="00E45B1D" w:rsidRPr="004E0F02">
        <w:t>„</w:t>
      </w:r>
      <w:r w:rsidRPr="004E0F02">
        <w:t>ustawy</w:t>
      </w:r>
      <w:r w:rsidR="003F3502" w:rsidRPr="004E0F02">
        <w:t xml:space="preserve"> z </w:t>
      </w:r>
      <w:r w:rsidRPr="004E0F02">
        <w:t>dnia 2</w:t>
      </w:r>
      <w:r w:rsidR="003F3502" w:rsidRPr="004E0F02">
        <w:t>5 </w:t>
      </w:r>
      <w:r w:rsidRPr="004E0F02">
        <w:t>lutego 201</w:t>
      </w:r>
      <w:r w:rsidR="003F3502" w:rsidRPr="004E0F02">
        <w:t>6 </w:t>
      </w:r>
      <w:r w:rsidRPr="004E0F02">
        <w:t>r.</w:t>
      </w:r>
      <w:r w:rsidR="003F3502" w:rsidRPr="004E0F02">
        <w:t xml:space="preserve"> o </w:t>
      </w:r>
      <w:r w:rsidRPr="004E0F02">
        <w:t>ponownym wykorzystywaniu informacji sektora publicznego</w:t>
      </w:r>
      <w:r w:rsidR="00E45B1D" w:rsidRPr="004E0F02">
        <w:t>”</w:t>
      </w:r>
      <w:r w:rsidRPr="004E0F02">
        <w:t xml:space="preserve"> zastępuje się wyrazami </w:t>
      </w:r>
      <w:r w:rsidR="00E45B1D" w:rsidRPr="004E0F02">
        <w:t>„</w:t>
      </w:r>
      <w:r w:rsidRPr="004E0F02">
        <w:t>ustawy</w:t>
      </w:r>
      <w:r w:rsidR="003F3502" w:rsidRPr="004E0F02">
        <w:t xml:space="preserve"> z </w:t>
      </w:r>
      <w:r w:rsidRPr="004E0F02">
        <w:t>dnia …</w:t>
      </w:r>
      <w:r w:rsidR="003F3502" w:rsidRPr="004E0F02">
        <w:t xml:space="preserve"> o </w:t>
      </w:r>
      <w:r w:rsidRPr="004E0F02">
        <w:t>otwartych danych</w:t>
      </w:r>
      <w:r w:rsidR="003F3502" w:rsidRPr="004E0F02">
        <w:t xml:space="preserve"> i </w:t>
      </w:r>
      <w:r w:rsidRPr="004E0F02">
        <w:t>ponownym wykorzystywaniu informacji sektora publicznego</w:t>
      </w:r>
      <w:r w:rsidR="00E45B1D" w:rsidRPr="004E0F02">
        <w:t>”</w:t>
      </w:r>
      <w:r w:rsidRPr="004E0F02">
        <w:t>.</w:t>
      </w:r>
    </w:p>
    <w:p w14:paraId="3887DB07" w14:textId="77777777" w:rsidR="00EF28B7" w:rsidRPr="004E0F02" w:rsidRDefault="00EF28B7" w:rsidP="00EF28B7">
      <w:pPr>
        <w:pStyle w:val="ZROZDZODDZOZNzmoznrozdzoddzartykuempunktem"/>
      </w:pPr>
      <w:r w:rsidRPr="004E0F02">
        <w:t>Rozdział 11</w:t>
      </w:r>
    </w:p>
    <w:p w14:paraId="4EEA6AD1" w14:textId="4C06182C" w:rsidR="00EF28B7" w:rsidRPr="004E0F02" w:rsidRDefault="00EF28B7" w:rsidP="00E45B1D">
      <w:pPr>
        <w:pStyle w:val="ROZDZODDZPRZEDMprzedmiotregulacjirozdziauluboddziau"/>
      </w:pPr>
      <w:r w:rsidRPr="004E0F02">
        <w:t>Przepisy przejściowe</w:t>
      </w:r>
      <w:r w:rsidR="005212CF" w:rsidRPr="004E0F02">
        <w:t>, dostosowujące</w:t>
      </w:r>
      <w:r w:rsidRPr="004E0F02">
        <w:t xml:space="preserve"> i przepis</w:t>
      </w:r>
      <w:r w:rsidR="000763F5" w:rsidRPr="004E0F02">
        <w:t>y</w:t>
      </w:r>
      <w:r w:rsidRPr="004E0F02">
        <w:t xml:space="preserve"> końcow</w:t>
      </w:r>
      <w:r w:rsidR="000763F5" w:rsidRPr="004E0F02">
        <w:t>e</w:t>
      </w:r>
    </w:p>
    <w:p w14:paraId="1210B483" w14:textId="5CB994EA" w:rsidR="00EF28B7" w:rsidRPr="004E0F02" w:rsidRDefault="00EF28B7" w:rsidP="00076ABF">
      <w:pPr>
        <w:pStyle w:val="ARTartustawynprozporzdzenia"/>
      </w:pPr>
      <w:r w:rsidRPr="004E0F02">
        <w:rPr>
          <w:rStyle w:val="Ppogrubienie"/>
        </w:rPr>
        <w:t>Art. </w:t>
      </w:r>
      <w:r w:rsidR="00225724" w:rsidRPr="004E0F02">
        <w:rPr>
          <w:rStyle w:val="Ppogrubienie"/>
        </w:rPr>
        <w:t>60</w:t>
      </w:r>
      <w:r w:rsidRPr="004E0F02">
        <w:rPr>
          <w:rStyle w:val="Ppogrubienie"/>
        </w:rPr>
        <w:t>.</w:t>
      </w:r>
      <w:r w:rsidRPr="004E0F02">
        <w:t xml:space="preserve"> 1. Do spraw z zakresu przekazywania informacji sektora publicznego w celu ponownego wykorzystywania, wszczętych </w:t>
      </w:r>
      <w:r w:rsidR="00AF4109" w:rsidRPr="004E0F02">
        <w:t xml:space="preserve">przed dniem </w:t>
      </w:r>
      <w:r w:rsidRPr="004E0F02">
        <w:t>wejścia</w:t>
      </w:r>
      <w:r w:rsidR="00E45B1D" w:rsidRPr="004E0F02">
        <w:t xml:space="preserve"> w </w:t>
      </w:r>
      <w:r w:rsidRPr="004E0F02">
        <w:t>życie niniejszej ustawy</w:t>
      </w:r>
      <w:r w:rsidR="006A491B" w:rsidRPr="004E0F02">
        <w:t>,</w:t>
      </w:r>
      <w:r w:rsidRPr="004E0F02">
        <w:t xml:space="preserve"> stosuje się przepisy dotychczasowe.</w:t>
      </w:r>
    </w:p>
    <w:p w14:paraId="25E9BE3D" w14:textId="0A98DA74" w:rsidR="00EF28B7" w:rsidRPr="004E0F02" w:rsidRDefault="00EF28B7" w:rsidP="00076ABF">
      <w:pPr>
        <w:pStyle w:val="USTustnpkodeksu"/>
      </w:pPr>
      <w:r w:rsidRPr="004E0F02">
        <w:t>2. Postanowienia umów zawartych przed dniem wejścia w życie niniejszej ustawy, niezgodne</w:t>
      </w:r>
      <w:r w:rsidR="00E45B1D" w:rsidRPr="004E0F02">
        <w:t xml:space="preserve"> z art. 9 ust. </w:t>
      </w:r>
      <w:r w:rsidRPr="004E0F02">
        <w:t>2, wygasają wraz z końcem okresu ich obowiązywania, nie później jednak niż w dniu 18 lipca 2043 r.</w:t>
      </w:r>
    </w:p>
    <w:p w14:paraId="0C35C207" w14:textId="26CBE733" w:rsidR="00E266E3" w:rsidRPr="004E0F02" w:rsidRDefault="00E266E3" w:rsidP="00FD7DB7">
      <w:pPr>
        <w:pStyle w:val="ARTartustawynprozporzdzenia"/>
      </w:pPr>
      <w:r w:rsidRPr="004E0F02">
        <w:rPr>
          <w:b/>
        </w:rPr>
        <w:t xml:space="preserve">Art. </w:t>
      </w:r>
      <w:r w:rsidR="00225724" w:rsidRPr="004E0F02">
        <w:rPr>
          <w:b/>
        </w:rPr>
        <w:t>61</w:t>
      </w:r>
      <w:r w:rsidRPr="004E0F02">
        <w:t>. Polityk</w:t>
      </w:r>
      <w:r w:rsidR="00FD7DB7" w:rsidRPr="004E0F02">
        <w:t>ę</w:t>
      </w:r>
      <w:r w:rsidRPr="004E0F02">
        <w:t xml:space="preserve"> otwartego dostępu do danych badawczych </w:t>
      </w:r>
      <w:r w:rsidR="00F65079" w:rsidRPr="004E0F02">
        <w:t xml:space="preserve">minister właściwy do spraw nauki i szkolnictwa wyższego  </w:t>
      </w:r>
      <w:r w:rsidR="00FD7DB7" w:rsidRPr="004E0F02">
        <w:t xml:space="preserve">opracowuje się w terminie 18 miesięcy od dnia wejścia w życie niniejszej ustawy.  </w:t>
      </w:r>
    </w:p>
    <w:p w14:paraId="1333E9ED" w14:textId="0B2F7833" w:rsidR="00EF28B7" w:rsidRPr="004E0F02" w:rsidRDefault="00EF28B7" w:rsidP="00076ABF">
      <w:pPr>
        <w:pStyle w:val="ARTartustawynprozporzdzenia"/>
      </w:pPr>
      <w:r w:rsidRPr="004E0F02">
        <w:rPr>
          <w:rStyle w:val="Ppogrubienie"/>
        </w:rPr>
        <w:t>Art. </w:t>
      </w:r>
      <w:r w:rsidR="00225724" w:rsidRPr="004E0F02">
        <w:rPr>
          <w:rStyle w:val="Ppogrubienie"/>
        </w:rPr>
        <w:t>62</w:t>
      </w:r>
      <w:r w:rsidRPr="004E0F02">
        <w:rPr>
          <w:rStyle w:val="Ppogrubienie"/>
        </w:rPr>
        <w:t>.</w:t>
      </w:r>
      <w:r w:rsidRPr="004E0F02">
        <w:t> </w:t>
      </w:r>
      <w:r w:rsidR="00A7069D" w:rsidRPr="004E0F02">
        <w:t xml:space="preserve">1. </w:t>
      </w:r>
      <w:r w:rsidRPr="004E0F02">
        <w:t>Dotychczasowe przepisy wykonawcze wydane na podstawie</w:t>
      </w:r>
      <w:r w:rsidR="00E45B1D" w:rsidRPr="004E0F02">
        <w:t xml:space="preserve"> art. </w:t>
      </w:r>
      <w:r w:rsidRPr="004E0F02">
        <w:t>9b</w:t>
      </w:r>
      <w:r w:rsidR="00E45B1D" w:rsidRPr="004E0F02">
        <w:t xml:space="preserve"> ust. </w:t>
      </w:r>
      <w:r w:rsidRPr="004E0F02">
        <w:t>6 ustawy</w:t>
      </w:r>
      <w:r w:rsidR="002A43A0">
        <w:t xml:space="preserve"> zmienianej</w:t>
      </w:r>
      <w:r w:rsidR="00E45B1D" w:rsidRPr="004E0F02">
        <w:t xml:space="preserve"> w art. </w:t>
      </w:r>
      <w:r w:rsidR="005C1A0B" w:rsidRPr="004E0F02">
        <w:t>53</w:t>
      </w:r>
      <w:r w:rsidR="002A43A0">
        <w:t>,</w:t>
      </w:r>
      <w:r w:rsidR="003F25F6" w:rsidRPr="004E0F02">
        <w:t xml:space="preserve"> </w:t>
      </w:r>
      <w:r w:rsidR="00E45B1D" w:rsidRPr="004E0F02">
        <w:t>oraz</w:t>
      </w:r>
      <w:r w:rsidRPr="004E0F02">
        <w:t xml:space="preserve"> na podstawie</w:t>
      </w:r>
      <w:r w:rsidR="00E45B1D" w:rsidRPr="004E0F02">
        <w:t xml:space="preserve"> art. </w:t>
      </w:r>
      <w:r w:rsidRPr="004E0F02">
        <w:t>1</w:t>
      </w:r>
      <w:r w:rsidR="00E45B1D" w:rsidRPr="004E0F02">
        <w:t>8 ust. </w:t>
      </w:r>
      <w:r w:rsidR="003F3502" w:rsidRPr="004E0F02">
        <w:t>3 </w:t>
      </w:r>
      <w:r w:rsidRPr="004E0F02">
        <w:t>ustawy,</w:t>
      </w:r>
      <w:r w:rsidR="003F3502" w:rsidRPr="004E0F02">
        <w:t xml:space="preserve"> o </w:t>
      </w:r>
      <w:r w:rsidRPr="004E0F02">
        <w:t>której mowa</w:t>
      </w:r>
      <w:r w:rsidR="00E45B1D" w:rsidRPr="004E0F02">
        <w:t xml:space="preserve"> w art. </w:t>
      </w:r>
      <w:r w:rsidR="005C1A0B" w:rsidRPr="004E0F02">
        <w:t>63</w:t>
      </w:r>
      <w:r w:rsidRPr="004E0F02">
        <w:t xml:space="preserve">, zachowują moc do dnia wejścia w życie przepisów wykonawczych wydanych </w:t>
      </w:r>
      <w:r w:rsidRPr="004E0F02">
        <w:lastRenderedPageBreak/>
        <w:t>odpowiednio na podstawie</w:t>
      </w:r>
      <w:r w:rsidR="00E45B1D" w:rsidRPr="004E0F02">
        <w:t xml:space="preserve"> art. </w:t>
      </w:r>
      <w:r w:rsidR="005C1A0B" w:rsidRPr="004E0F02">
        <w:t xml:space="preserve">37 </w:t>
      </w:r>
      <w:r w:rsidR="00E45B1D" w:rsidRPr="004E0F02">
        <w:t>ust. 6 oraz art. </w:t>
      </w:r>
      <w:r w:rsidRPr="004E0F02">
        <w:t>1</w:t>
      </w:r>
      <w:r w:rsidR="00E45B1D" w:rsidRPr="004E0F02">
        <w:t>9 ust. </w:t>
      </w:r>
      <w:r w:rsidR="003F3502" w:rsidRPr="004E0F02">
        <w:t>3 </w:t>
      </w:r>
      <w:r w:rsidRPr="004E0F02">
        <w:t>niniejszej ustawy, jednak nie dłużej niż przez okres 12 miesięcy od dnia wejścia w życie niniejszej ustawy.</w:t>
      </w:r>
    </w:p>
    <w:p w14:paraId="007EE120" w14:textId="505B9F2F" w:rsidR="000D30EE" w:rsidRPr="004E0F02" w:rsidRDefault="000D30EE" w:rsidP="00076ABF">
      <w:pPr>
        <w:pStyle w:val="ARTartustawynprozporzdzenia"/>
      </w:pPr>
      <w:r w:rsidRPr="004E0F02">
        <w:t>2. Dotychczasow</w:t>
      </w:r>
      <w:r w:rsidR="002A43A0">
        <w:t>e</w:t>
      </w:r>
      <w:r w:rsidRPr="004E0F02">
        <w:t xml:space="preserve"> przepisy wykonawcze wydane na podstawie art. 80cf oraz 100am ustawy</w:t>
      </w:r>
      <w:r w:rsidR="002A43A0">
        <w:t xml:space="preserve"> zmienianej</w:t>
      </w:r>
      <w:r w:rsidRPr="004E0F02">
        <w:t xml:space="preserve"> w art. </w:t>
      </w:r>
      <w:r w:rsidR="001839B2" w:rsidRPr="004E0F02">
        <w:t>51</w:t>
      </w:r>
      <w:r w:rsidR="002A43A0">
        <w:t>,</w:t>
      </w:r>
      <w:r w:rsidRPr="004E0F02">
        <w:t xml:space="preserve"> zachowują moc. </w:t>
      </w:r>
    </w:p>
    <w:p w14:paraId="49A1F2AD" w14:textId="5E3FECB2" w:rsidR="00555922" w:rsidRPr="004E0F02" w:rsidRDefault="000D30EE" w:rsidP="00707A4A">
      <w:pPr>
        <w:pStyle w:val="USTustnpkodeksu"/>
      </w:pPr>
      <w:r w:rsidRPr="004E0F02">
        <w:t>3</w:t>
      </w:r>
      <w:r w:rsidR="00AF626C" w:rsidRPr="004E0F02">
        <w:t>.</w:t>
      </w:r>
      <w:r w:rsidR="00AF626C" w:rsidRPr="004E0F02">
        <w:tab/>
      </w:r>
      <w:r w:rsidR="00555922" w:rsidRPr="004E0F02">
        <w:t xml:space="preserve">Program </w:t>
      </w:r>
      <w:r w:rsidR="001839B2" w:rsidRPr="004E0F02">
        <w:t>o</w:t>
      </w:r>
      <w:r w:rsidR="00D06CB9" w:rsidRPr="004E0F02">
        <w:t>twierania</w:t>
      </w:r>
      <w:r w:rsidR="00555922" w:rsidRPr="004E0F02">
        <w:t xml:space="preserve"> </w:t>
      </w:r>
      <w:r w:rsidR="001839B2" w:rsidRPr="004E0F02">
        <w:t>d</w:t>
      </w:r>
      <w:r w:rsidR="00555922" w:rsidRPr="004E0F02">
        <w:t>anych przyjęty</w:t>
      </w:r>
      <w:r w:rsidR="00E45B1D" w:rsidRPr="004E0F02">
        <w:t xml:space="preserve"> w </w:t>
      </w:r>
      <w:r w:rsidR="00555922" w:rsidRPr="004E0F02">
        <w:t xml:space="preserve">drodze uchwały Rady Ministrów </w:t>
      </w:r>
      <w:r w:rsidR="00D06CB9" w:rsidRPr="004E0F02">
        <w:t>na podstawie</w:t>
      </w:r>
      <w:r w:rsidR="00E45B1D" w:rsidRPr="004E0F02">
        <w:t xml:space="preserve"> art. </w:t>
      </w:r>
      <w:r w:rsidR="00D06CB9" w:rsidRPr="004E0F02">
        <w:t>9e ustawy</w:t>
      </w:r>
      <w:r w:rsidR="002A43A0">
        <w:t xml:space="preserve"> zmienianej</w:t>
      </w:r>
      <w:r w:rsidR="00E45B1D" w:rsidRPr="004E0F02">
        <w:t xml:space="preserve"> w art. </w:t>
      </w:r>
      <w:r w:rsidR="005C1A0B" w:rsidRPr="004E0F02">
        <w:t>53</w:t>
      </w:r>
      <w:r w:rsidR="00D06CB9" w:rsidRPr="004E0F02">
        <w:t xml:space="preserve">, </w:t>
      </w:r>
      <w:r w:rsidR="00CB1068" w:rsidRPr="004E0F02">
        <w:t>staje się</w:t>
      </w:r>
      <w:r w:rsidR="00E45B1D" w:rsidRPr="004E0F02">
        <w:t xml:space="preserve"> z </w:t>
      </w:r>
      <w:r w:rsidR="000A3006" w:rsidRPr="004E0F02">
        <w:t>dniem wejścia</w:t>
      </w:r>
      <w:r w:rsidR="00E45B1D" w:rsidRPr="004E0F02">
        <w:t xml:space="preserve"> w </w:t>
      </w:r>
      <w:r w:rsidR="000A3006" w:rsidRPr="004E0F02">
        <w:t xml:space="preserve">życie niniejszej ustawy </w:t>
      </w:r>
      <w:r w:rsidR="002009CB" w:rsidRPr="004E0F02">
        <w:t>P</w:t>
      </w:r>
      <w:r w:rsidR="00CB1068" w:rsidRPr="004E0F02">
        <w:t>rogramem,</w:t>
      </w:r>
      <w:r w:rsidR="00253761" w:rsidRPr="004E0F02">
        <w:t xml:space="preserve"> o </w:t>
      </w:r>
      <w:r w:rsidR="00CB1068" w:rsidRPr="004E0F02">
        <w:t>którym mowa</w:t>
      </w:r>
      <w:r w:rsidR="00E45B1D" w:rsidRPr="004E0F02">
        <w:t xml:space="preserve"> w art. </w:t>
      </w:r>
      <w:r w:rsidR="005C1A0B" w:rsidRPr="004E0F02">
        <w:t xml:space="preserve">31 </w:t>
      </w:r>
      <w:r w:rsidR="00E45B1D" w:rsidRPr="004E0F02">
        <w:t>ust. 1 </w:t>
      </w:r>
      <w:r w:rsidR="000A4428" w:rsidRPr="004E0F02">
        <w:t xml:space="preserve">niniejszej </w:t>
      </w:r>
      <w:r w:rsidR="00C0728E" w:rsidRPr="004E0F02">
        <w:t>ustawy</w:t>
      </w:r>
      <w:r w:rsidR="00CB1068" w:rsidRPr="004E0F02">
        <w:t>.</w:t>
      </w:r>
    </w:p>
    <w:p w14:paraId="64E7BEEC" w14:textId="381CEAB4" w:rsidR="00CB1068" w:rsidRPr="004E0F02" w:rsidRDefault="000D30EE" w:rsidP="00707A4A">
      <w:pPr>
        <w:pStyle w:val="USTustnpkodeksu"/>
      </w:pPr>
      <w:r w:rsidRPr="004E0F02">
        <w:t>4</w:t>
      </w:r>
      <w:r w:rsidR="00AF626C" w:rsidRPr="004E0F02">
        <w:t>.</w:t>
      </w:r>
      <w:r w:rsidR="00AF626C" w:rsidRPr="004E0F02">
        <w:tab/>
      </w:r>
      <w:r w:rsidR="00C44211" w:rsidRPr="004E0F02">
        <w:t>Centralne r</w:t>
      </w:r>
      <w:r w:rsidR="00A30638" w:rsidRPr="004E0F02">
        <w:t>epozytorium prowadzone przez ministra właściwego do spraw informatyzacji na podstawie</w:t>
      </w:r>
      <w:r w:rsidR="00E45B1D" w:rsidRPr="004E0F02">
        <w:t xml:space="preserve"> art. </w:t>
      </w:r>
      <w:r w:rsidR="00A30638" w:rsidRPr="004E0F02">
        <w:t>9b ustawy</w:t>
      </w:r>
      <w:r w:rsidR="002A43A0">
        <w:t xml:space="preserve"> zmienianej</w:t>
      </w:r>
      <w:r w:rsidR="00E45B1D" w:rsidRPr="004E0F02">
        <w:t xml:space="preserve"> w art. </w:t>
      </w:r>
      <w:r w:rsidR="005C1A0B" w:rsidRPr="004E0F02">
        <w:t>53</w:t>
      </w:r>
      <w:r w:rsidR="00A30638" w:rsidRPr="004E0F02">
        <w:t xml:space="preserve">, </w:t>
      </w:r>
      <w:r w:rsidR="00CB1068" w:rsidRPr="004E0F02">
        <w:t>staje się</w:t>
      </w:r>
      <w:r w:rsidR="00E45B1D" w:rsidRPr="004E0F02">
        <w:t xml:space="preserve"> z </w:t>
      </w:r>
      <w:r w:rsidR="0071153C" w:rsidRPr="004E0F02">
        <w:t>dniem wejścia</w:t>
      </w:r>
      <w:r w:rsidR="00E45B1D" w:rsidRPr="004E0F02">
        <w:t xml:space="preserve"> w </w:t>
      </w:r>
      <w:r w:rsidR="0071153C" w:rsidRPr="004E0F02">
        <w:t xml:space="preserve">życie niniejszej ustawy </w:t>
      </w:r>
      <w:r w:rsidR="00CB1068" w:rsidRPr="004E0F02">
        <w:t>portalem danych</w:t>
      </w:r>
      <w:r w:rsidR="00A30638" w:rsidRPr="004E0F02">
        <w:t>,</w:t>
      </w:r>
      <w:r w:rsidR="00253761" w:rsidRPr="004E0F02">
        <w:t xml:space="preserve"> o </w:t>
      </w:r>
      <w:r w:rsidR="00A30638" w:rsidRPr="004E0F02">
        <w:t>którym mowa</w:t>
      </w:r>
      <w:r w:rsidR="00E45B1D" w:rsidRPr="004E0F02">
        <w:t xml:space="preserve"> w art. </w:t>
      </w:r>
      <w:r w:rsidR="00D22452" w:rsidRPr="004E0F02">
        <w:t>2 pkt 13 </w:t>
      </w:r>
      <w:r w:rsidR="000A4428" w:rsidRPr="004E0F02">
        <w:t xml:space="preserve">niniejszej </w:t>
      </w:r>
      <w:r w:rsidR="00A30638" w:rsidRPr="004E0F02">
        <w:t>ustawy.</w:t>
      </w:r>
    </w:p>
    <w:p w14:paraId="2994490A" w14:textId="1FA960D2" w:rsidR="00FC35AB" w:rsidRPr="004E0F02" w:rsidRDefault="000763F5" w:rsidP="00A96D4B">
      <w:pPr>
        <w:pStyle w:val="ARTartustawynprozporzdzenia"/>
      </w:pPr>
      <w:r w:rsidRPr="004E0F02">
        <w:rPr>
          <w:rStyle w:val="Ppogrubienie"/>
        </w:rPr>
        <w:t>Art.</w:t>
      </w:r>
      <w:r w:rsidR="00707A4A" w:rsidRPr="004E0F02">
        <w:rPr>
          <w:rStyle w:val="Ppogrubienie"/>
        </w:rPr>
        <w:t> </w:t>
      </w:r>
      <w:r w:rsidR="00225724" w:rsidRPr="004E0F02">
        <w:rPr>
          <w:rStyle w:val="Ppogrubienie"/>
        </w:rPr>
        <w:t>63</w:t>
      </w:r>
      <w:r w:rsidRPr="004E0F02">
        <w:rPr>
          <w:rStyle w:val="Ppogrubienie"/>
        </w:rPr>
        <w:t>.</w:t>
      </w:r>
      <w:r w:rsidRPr="004E0F02">
        <w:t xml:space="preserve"> </w:t>
      </w:r>
      <w:r w:rsidR="00B02447" w:rsidRPr="004E0F02">
        <w:t>Traci moc ustawa</w:t>
      </w:r>
      <w:r w:rsidR="00253761" w:rsidRPr="004E0F02">
        <w:t xml:space="preserve"> z </w:t>
      </w:r>
      <w:r w:rsidRPr="004E0F02">
        <w:t>dnia 2</w:t>
      </w:r>
      <w:r w:rsidR="00253761" w:rsidRPr="004E0F02">
        <w:t>5 </w:t>
      </w:r>
      <w:r w:rsidRPr="004E0F02">
        <w:t>lutego 201</w:t>
      </w:r>
      <w:r w:rsidR="00253761" w:rsidRPr="004E0F02">
        <w:t>6 </w:t>
      </w:r>
      <w:r w:rsidRPr="004E0F02">
        <w:t>r.</w:t>
      </w:r>
      <w:r w:rsidR="00253761" w:rsidRPr="004E0F02">
        <w:t xml:space="preserve"> o </w:t>
      </w:r>
      <w:r w:rsidRPr="004E0F02">
        <w:t>ponownym wykorzystywaniu informacji sektora publicznego (</w:t>
      </w:r>
      <w:r w:rsidR="00E45B1D" w:rsidRPr="004E0F02">
        <w:t>Dz. U.</w:t>
      </w:r>
      <w:r w:rsidR="00253761" w:rsidRPr="004E0F02">
        <w:t xml:space="preserve"> z </w:t>
      </w:r>
      <w:r w:rsidRPr="004E0F02">
        <w:t>201</w:t>
      </w:r>
      <w:r w:rsidR="00253761" w:rsidRPr="004E0F02">
        <w:t>9 </w:t>
      </w:r>
      <w:r w:rsidRPr="004E0F02">
        <w:t>r.</w:t>
      </w:r>
      <w:r w:rsidR="00E45B1D" w:rsidRPr="004E0F02">
        <w:t xml:space="preserve"> poz. </w:t>
      </w:r>
      <w:r w:rsidRPr="004E0F02">
        <w:t>1446).</w:t>
      </w:r>
    </w:p>
    <w:p w14:paraId="38C2CE4A" w14:textId="2137FA32" w:rsidR="00CE2D18" w:rsidRPr="004E0F02" w:rsidRDefault="00EF28B7" w:rsidP="00A62D23">
      <w:pPr>
        <w:pStyle w:val="ARTartustawynprozporzdzenia"/>
      </w:pPr>
      <w:r w:rsidRPr="004E0F02">
        <w:rPr>
          <w:rStyle w:val="Ppogrubienie"/>
        </w:rPr>
        <w:t>Art. </w:t>
      </w:r>
      <w:r w:rsidR="001F2CA5" w:rsidRPr="004E0F02">
        <w:rPr>
          <w:rStyle w:val="Ppogrubienie"/>
        </w:rPr>
        <w:t>6</w:t>
      </w:r>
      <w:r w:rsidR="00225724" w:rsidRPr="004E0F02">
        <w:rPr>
          <w:rStyle w:val="Ppogrubienie"/>
        </w:rPr>
        <w:t>4</w:t>
      </w:r>
      <w:r w:rsidRPr="004E0F02">
        <w:rPr>
          <w:rStyle w:val="Ppogrubienie"/>
        </w:rPr>
        <w:t>.</w:t>
      </w:r>
      <w:r w:rsidRPr="004E0F02">
        <w:t> Ustawa wchodzi w życie po upływie 3 miesięcy od dnia ogłoszenia</w:t>
      </w:r>
      <w:r w:rsidR="007B1558" w:rsidRPr="004E0F02">
        <w:t xml:space="preserve"> z wyjątkiem art. 24</w:t>
      </w:r>
      <w:r w:rsidR="001839B2" w:rsidRPr="004E0F02">
        <w:t xml:space="preserve">, który wchodzi w życie po upływie 6 miesięcy od dnia ogłoszenia. </w:t>
      </w:r>
    </w:p>
    <w:p w14:paraId="2470B591" w14:textId="77777777" w:rsidR="006C5E8A" w:rsidRDefault="006C5E8A">
      <w:pPr>
        <w:widowControl/>
        <w:autoSpaceDE/>
        <w:autoSpaceDN/>
        <w:adjustRightInd/>
      </w:pPr>
    </w:p>
    <w:p w14:paraId="634CF79B" w14:textId="77777777" w:rsidR="0005300F" w:rsidRDefault="0005300F">
      <w:pPr>
        <w:widowControl/>
        <w:autoSpaceDE/>
        <w:autoSpaceDN/>
        <w:adjustRightInd/>
      </w:pPr>
    </w:p>
    <w:p w14:paraId="1AC3E27B" w14:textId="77777777" w:rsidR="0005300F" w:rsidRPr="004E0F02" w:rsidRDefault="0005300F">
      <w:pPr>
        <w:widowControl/>
        <w:autoSpaceDE/>
        <w:autoSpaceDN/>
        <w:adjustRightInd/>
      </w:pPr>
    </w:p>
    <w:p w14:paraId="2FC39863" w14:textId="77777777" w:rsidR="0005300F" w:rsidRPr="009C7E27" w:rsidRDefault="0005300F" w:rsidP="0005300F">
      <w:pPr>
        <w:pStyle w:val="OZNPARAFYADNOTACJE"/>
      </w:pPr>
      <w:r w:rsidRPr="009C7E27">
        <w:t>ZA ZGODNOŚĆ POD WZGLĘDEM PRAWNYM,</w:t>
      </w:r>
    </w:p>
    <w:p w14:paraId="7DB9E69A" w14:textId="77777777" w:rsidR="0005300F" w:rsidRPr="009C7E27" w:rsidRDefault="0005300F" w:rsidP="0005300F">
      <w:pPr>
        <w:pStyle w:val="OZNPARAFYADNOTACJE"/>
      </w:pPr>
      <w:r w:rsidRPr="009C7E27">
        <w:t>REDAKCYJNYM I LEGISLACYJNYM</w:t>
      </w:r>
    </w:p>
    <w:p w14:paraId="5FD09D93" w14:textId="203FACDB" w:rsidR="0005300F" w:rsidRDefault="00BD5A37" w:rsidP="0005300F">
      <w:pPr>
        <w:pStyle w:val="OZNPARAFYADNOTACJE"/>
      </w:pPr>
      <w:r>
        <w:t>Michał Frączkiewicz</w:t>
      </w:r>
      <w:bookmarkStart w:id="0" w:name="_GoBack"/>
      <w:bookmarkEnd w:id="0"/>
    </w:p>
    <w:p w14:paraId="613A0583" w14:textId="77777777" w:rsidR="0005300F" w:rsidRPr="009C7E27" w:rsidRDefault="0005300F" w:rsidP="0005300F">
      <w:pPr>
        <w:pStyle w:val="OZNPARAFYADNOTACJE"/>
      </w:pPr>
      <w:r w:rsidRPr="009C7E27">
        <w:t>Zastępca Dyrektora Departamentu Prawnego</w:t>
      </w:r>
    </w:p>
    <w:p w14:paraId="09F26F20" w14:textId="77777777" w:rsidR="0005300F" w:rsidRPr="009C7E27" w:rsidRDefault="0005300F" w:rsidP="0005300F">
      <w:pPr>
        <w:pStyle w:val="OZNPARAFYADNOTACJE"/>
      </w:pPr>
      <w:r w:rsidRPr="009C7E27">
        <w:t xml:space="preserve">w </w:t>
      </w:r>
      <w:r>
        <w:t>Kancelarii Prezesa Rady Ministrów</w:t>
      </w:r>
    </w:p>
    <w:p w14:paraId="349DCDC2" w14:textId="77777777" w:rsidR="0005300F" w:rsidRDefault="0005300F" w:rsidP="0005300F">
      <w:pPr>
        <w:pStyle w:val="OZNPARAFYADNOTACJE"/>
      </w:pPr>
      <w:r w:rsidRPr="009C7E27">
        <w:t>/- podpisano elektronicznie/</w:t>
      </w:r>
    </w:p>
    <w:p w14:paraId="7121702A" w14:textId="38ABBECD" w:rsidR="006C5E8A" w:rsidRPr="004E0F02" w:rsidRDefault="006C5E8A" w:rsidP="006C5E8A">
      <w:pPr>
        <w:pStyle w:val="ODNONIKtreodnonika"/>
      </w:pPr>
    </w:p>
    <w:p w14:paraId="004A3266" w14:textId="77777777" w:rsidR="00CE2D18" w:rsidRPr="004E0F02" w:rsidRDefault="00CE2D18">
      <w:pPr>
        <w:widowControl/>
        <w:autoSpaceDE/>
        <w:autoSpaceDN/>
        <w:adjustRightInd/>
        <w:rPr>
          <w:rFonts w:ascii="Times" w:hAnsi="Times"/>
        </w:rPr>
      </w:pPr>
      <w:r w:rsidRPr="004E0F02">
        <w:br w:type="page"/>
      </w:r>
    </w:p>
    <w:p w14:paraId="397C1E70" w14:textId="77777777" w:rsidR="00CE2D18" w:rsidRPr="004E0F02" w:rsidRDefault="00CE2D18" w:rsidP="00CE2D18">
      <w:pPr>
        <w:pStyle w:val="ARTartustawynprozporzdzenia"/>
        <w:jc w:val="center"/>
        <w:rPr>
          <w:rStyle w:val="Ppogrubienie"/>
        </w:rPr>
      </w:pPr>
      <w:r w:rsidRPr="004E0F02">
        <w:rPr>
          <w:rStyle w:val="Ppogrubienie"/>
        </w:rPr>
        <w:lastRenderedPageBreak/>
        <w:t>UZASADNIENIE</w:t>
      </w:r>
    </w:p>
    <w:p w14:paraId="69A88F0B" w14:textId="77777777" w:rsidR="00A42682" w:rsidRPr="004E0F02" w:rsidRDefault="00A42682" w:rsidP="006A491B">
      <w:pPr>
        <w:pStyle w:val="NIEARTTEKSTtekstnieartykuowanynppodstprawnarozplubpreambua"/>
        <w:ind w:firstLine="0"/>
        <w:rPr>
          <w:rFonts w:eastAsia="Times New Roman"/>
          <w:b/>
        </w:rPr>
      </w:pPr>
      <w:r w:rsidRPr="004E0F02">
        <w:rPr>
          <w:rFonts w:eastAsia="Times New Roman"/>
          <w:b/>
        </w:rPr>
        <w:t>I. Cel projektowanej regulacji.</w:t>
      </w:r>
    </w:p>
    <w:p w14:paraId="028497DB" w14:textId="3B0EF0E0" w:rsidR="0039085A" w:rsidRPr="004E0F02" w:rsidRDefault="0039085A" w:rsidP="0039085A">
      <w:pPr>
        <w:widowControl/>
        <w:spacing w:after="120" w:line="276" w:lineRule="auto"/>
        <w:jc w:val="both"/>
        <w:rPr>
          <w:rFonts w:eastAsia="Times New Roman" w:cs="Times New Roman"/>
          <w:szCs w:val="24"/>
        </w:rPr>
      </w:pPr>
      <w:r w:rsidRPr="004E0F02">
        <w:rPr>
          <w:rFonts w:eastAsia="Times New Roman" w:cs="Times New Roman"/>
          <w:szCs w:val="24"/>
        </w:rPr>
        <w:t>Głównym celem projektu ustawy</w:t>
      </w:r>
      <w:r w:rsidR="00E45B1D" w:rsidRPr="004E0F02">
        <w:rPr>
          <w:rFonts w:eastAsia="Times New Roman" w:cs="Times New Roman"/>
          <w:szCs w:val="24"/>
        </w:rPr>
        <w:t xml:space="preserve"> o </w:t>
      </w:r>
      <w:r w:rsidRPr="004E0F02">
        <w:rPr>
          <w:rFonts w:eastAsia="Times New Roman" w:cs="Times New Roman"/>
          <w:szCs w:val="24"/>
        </w:rPr>
        <w:t>otwartych danych</w:t>
      </w:r>
      <w:r w:rsidR="00E45B1D" w:rsidRPr="004E0F02">
        <w:rPr>
          <w:rFonts w:eastAsia="Times New Roman" w:cs="Times New Roman"/>
          <w:szCs w:val="24"/>
        </w:rPr>
        <w:t xml:space="preserve"> i </w:t>
      </w:r>
      <w:r w:rsidRPr="004E0F02">
        <w:rPr>
          <w:rFonts w:eastAsia="Times New Roman" w:cs="Times New Roman"/>
          <w:szCs w:val="24"/>
        </w:rPr>
        <w:t xml:space="preserve">ponownym wykorzystywaniu informacji sektora publicznego, zwanego dalej </w:t>
      </w:r>
      <w:r w:rsidR="00E45B1D" w:rsidRPr="004E0F02">
        <w:rPr>
          <w:rFonts w:eastAsia="Times New Roman" w:cs="Times New Roman"/>
          <w:szCs w:val="24"/>
        </w:rPr>
        <w:t>„</w:t>
      </w:r>
      <w:r w:rsidRPr="004E0F02">
        <w:rPr>
          <w:rFonts w:eastAsia="Times New Roman" w:cs="Times New Roman"/>
          <w:szCs w:val="24"/>
        </w:rPr>
        <w:t>ustawą</w:t>
      </w:r>
      <w:r w:rsidR="00E45B1D" w:rsidRPr="004E0F02">
        <w:rPr>
          <w:rFonts w:eastAsia="Times New Roman" w:cs="Times New Roman"/>
          <w:szCs w:val="24"/>
        </w:rPr>
        <w:t>”</w:t>
      </w:r>
      <w:r w:rsidRPr="004E0F02">
        <w:rPr>
          <w:rFonts w:eastAsia="Times New Roman" w:cs="Times New Roman"/>
          <w:szCs w:val="24"/>
        </w:rPr>
        <w:t xml:space="preserve"> lub </w:t>
      </w:r>
      <w:r w:rsidR="00E45B1D" w:rsidRPr="004E0F02">
        <w:rPr>
          <w:rFonts w:eastAsia="Times New Roman" w:cs="Times New Roman"/>
          <w:szCs w:val="24"/>
        </w:rPr>
        <w:t>„</w:t>
      </w:r>
      <w:r w:rsidRPr="004E0F02">
        <w:rPr>
          <w:rFonts w:eastAsia="Times New Roman" w:cs="Times New Roman"/>
          <w:szCs w:val="24"/>
        </w:rPr>
        <w:t>projektem ustawy</w:t>
      </w:r>
      <w:r w:rsidR="00E45B1D" w:rsidRPr="004E0F02">
        <w:rPr>
          <w:rFonts w:eastAsia="Times New Roman" w:cs="Times New Roman"/>
          <w:szCs w:val="24"/>
        </w:rPr>
        <w:t>”</w:t>
      </w:r>
      <w:r w:rsidRPr="004E0F02">
        <w:rPr>
          <w:rFonts w:eastAsia="Times New Roman" w:cs="Times New Roman"/>
          <w:szCs w:val="24"/>
        </w:rPr>
        <w:t xml:space="preserve">, jest implementacja dyrektywy </w:t>
      </w:r>
      <w:r w:rsidR="00EB7356" w:rsidRPr="004E0F02">
        <w:rPr>
          <w:rFonts w:eastAsia="Times New Roman" w:cs="Times New Roman"/>
          <w:szCs w:val="24"/>
        </w:rPr>
        <w:t xml:space="preserve">Parlamentu Europejskiego i Rady (UE) </w:t>
      </w:r>
      <w:r w:rsidRPr="004E0F02">
        <w:rPr>
          <w:rFonts w:eastAsia="Times New Roman" w:cs="Times New Roman"/>
          <w:szCs w:val="24"/>
        </w:rPr>
        <w:t xml:space="preserve">2019/1024 </w:t>
      </w:r>
      <w:r w:rsidR="00E45B1D" w:rsidRPr="004E0F02">
        <w:rPr>
          <w:rFonts w:eastAsia="Times New Roman" w:cs="Times New Roman"/>
          <w:szCs w:val="24"/>
        </w:rPr>
        <w:t>z </w:t>
      </w:r>
      <w:r w:rsidRPr="004E0F02">
        <w:rPr>
          <w:rFonts w:eastAsia="Times New Roman" w:cs="Times New Roman"/>
          <w:szCs w:val="24"/>
        </w:rPr>
        <w:t>dnia 2</w:t>
      </w:r>
      <w:r w:rsidR="00E45B1D" w:rsidRPr="004E0F02">
        <w:rPr>
          <w:rFonts w:eastAsia="Times New Roman" w:cs="Times New Roman"/>
          <w:szCs w:val="24"/>
        </w:rPr>
        <w:t>0 </w:t>
      </w:r>
      <w:r w:rsidRPr="004E0F02">
        <w:rPr>
          <w:rFonts w:eastAsia="Times New Roman" w:cs="Times New Roman"/>
          <w:szCs w:val="24"/>
        </w:rPr>
        <w:t>czerwca 201</w:t>
      </w:r>
      <w:r w:rsidR="00E45B1D" w:rsidRPr="004E0F02">
        <w:rPr>
          <w:rFonts w:eastAsia="Times New Roman" w:cs="Times New Roman"/>
          <w:szCs w:val="24"/>
        </w:rPr>
        <w:t>9 </w:t>
      </w:r>
      <w:r w:rsidRPr="004E0F02">
        <w:rPr>
          <w:rFonts w:eastAsia="Times New Roman" w:cs="Times New Roman"/>
          <w:szCs w:val="24"/>
        </w:rPr>
        <w:t>r.</w:t>
      </w:r>
      <w:r w:rsidR="00E45B1D" w:rsidRPr="004E0F02">
        <w:rPr>
          <w:rFonts w:eastAsia="Times New Roman" w:cs="Times New Roman"/>
          <w:szCs w:val="24"/>
        </w:rPr>
        <w:t xml:space="preserve"> w </w:t>
      </w:r>
      <w:r w:rsidRPr="004E0F02">
        <w:rPr>
          <w:rFonts w:eastAsia="Times New Roman" w:cs="Times New Roman"/>
          <w:szCs w:val="24"/>
        </w:rPr>
        <w:t>sprawie otwartych danych</w:t>
      </w:r>
      <w:r w:rsidR="00E45B1D" w:rsidRPr="004E0F02">
        <w:rPr>
          <w:rFonts w:eastAsia="Times New Roman" w:cs="Times New Roman"/>
          <w:szCs w:val="24"/>
        </w:rPr>
        <w:t xml:space="preserve"> i </w:t>
      </w:r>
      <w:r w:rsidRPr="004E0F02">
        <w:rPr>
          <w:rFonts w:eastAsia="Times New Roman" w:cs="Times New Roman"/>
          <w:szCs w:val="24"/>
        </w:rPr>
        <w:t>ponownego wykorzystywania informacji sektora publicznego</w:t>
      </w:r>
      <w:r w:rsidRPr="004E0F02">
        <w:rPr>
          <w:rFonts w:eastAsia="Times New Roman" w:cs="Times New Roman"/>
          <w:szCs w:val="24"/>
          <w:vertAlign w:val="superscript"/>
        </w:rPr>
        <w:footnoteReference w:id="9"/>
      </w:r>
      <w:r w:rsidRPr="004E0F02">
        <w:rPr>
          <w:rFonts w:eastAsia="Times New Roman" w:cs="Times New Roman"/>
          <w:szCs w:val="24"/>
          <w:vertAlign w:val="superscript"/>
        </w:rPr>
        <w:t>)</w:t>
      </w:r>
      <w:r w:rsidRPr="004E0F02">
        <w:rPr>
          <w:rFonts w:eastAsia="Times New Roman" w:cs="Times New Roman"/>
          <w:szCs w:val="24"/>
        </w:rPr>
        <w:t>. Projekt ustawy zakłada również wprowadzenie nowych rozwiązań wykraczających poza minimum wyznaczone dyrektywą, które usprawnią ponowne wykorzystywanie danych. Celem zasadniczym projektowanych regulacji jest zwiększenie podaży otwartych danych,</w:t>
      </w:r>
      <w:r w:rsidR="00E45B1D" w:rsidRPr="004E0F02">
        <w:rPr>
          <w:rFonts w:eastAsia="Times New Roman" w:cs="Times New Roman"/>
          <w:szCs w:val="24"/>
        </w:rPr>
        <w:t xml:space="preserve"> w </w:t>
      </w:r>
      <w:r w:rsidRPr="004E0F02">
        <w:rPr>
          <w:rFonts w:eastAsia="Times New Roman" w:cs="Times New Roman"/>
          <w:szCs w:val="24"/>
        </w:rPr>
        <w:t>tym zasobów informacji</w:t>
      </w:r>
      <w:r w:rsidR="00E45B1D" w:rsidRPr="004E0F02">
        <w:rPr>
          <w:rFonts w:eastAsia="Times New Roman" w:cs="Times New Roman"/>
          <w:szCs w:val="24"/>
        </w:rPr>
        <w:t xml:space="preserve"> o </w:t>
      </w:r>
      <w:r w:rsidRPr="004E0F02">
        <w:rPr>
          <w:rFonts w:eastAsia="Times New Roman" w:cs="Times New Roman"/>
          <w:szCs w:val="24"/>
        </w:rPr>
        <w:t>istotnej wartości</w:t>
      </w:r>
      <w:r w:rsidR="00E45B1D" w:rsidRPr="004E0F02">
        <w:rPr>
          <w:rFonts w:eastAsia="Times New Roman" w:cs="Times New Roman"/>
          <w:szCs w:val="24"/>
        </w:rPr>
        <w:t xml:space="preserve"> i </w:t>
      </w:r>
      <w:r w:rsidRPr="004E0F02">
        <w:rPr>
          <w:rFonts w:eastAsia="Times New Roman" w:cs="Times New Roman"/>
          <w:szCs w:val="24"/>
        </w:rPr>
        <w:t>potencjale do</w:t>
      </w:r>
      <w:r w:rsidR="00C73706" w:rsidRPr="004E0F02">
        <w:rPr>
          <w:rFonts w:eastAsia="Times New Roman" w:cs="Times New Roman"/>
          <w:szCs w:val="24"/>
        </w:rPr>
        <w:t> </w:t>
      </w:r>
      <w:r w:rsidRPr="004E0F02">
        <w:rPr>
          <w:rFonts w:eastAsia="Times New Roman" w:cs="Times New Roman"/>
          <w:szCs w:val="24"/>
        </w:rPr>
        <w:t>tworzenia nowych usług</w:t>
      </w:r>
      <w:r w:rsidR="00E45B1D" w:rsidRPr="004E0F02">
        <w:rPr>
          <w:rFonts w:eastAsia="Times New Roman" w:cs="Times New Roman"/>
          <w:szCs w:val="24"/>
        </w:rPr>
        <w:t xml:space="preserve"> i </w:t>
      </w:r>
      <w:r w:rsidRPr="004E0F02">
        <w:rPr>
          <w:rFonts w:eastAsia="Times New Roman" w:cs="Times New Roman"/>
          <w:szCs w:val="24"/>
        </w:rPr>
        <w:t>produktów,</w:t>
      </w:r>
      <w:r w:rsidR="00E45B1D" w:rsidRPr="004E0F02">
        <w:rPr>
          <w:rFonts w:eastAsia="Times New Roman" w:cs="Times New Roman"/>
          <w:szCs w:val="24"/>
        </w:rPr>
        <w:t xml:space="preserve"> a </w:t>
      </w:r>
      <w:r w:rsidRPr="004E0F02">
        <w:rPr>
          <w:rFonts w:eastAsia="Times New Roman" w:cs="Times New Roman"/>
          <w:szCs w:val="24"/>
        </w:rPr>
        <w:t>także stworzenie optymalnego otoczenia regulacyjnego dla efektywnego wykorzystywania informacji sektora publicznego</w:t>
      </w:r>
      <w:r w:rsidR="00E45B1D" w:rsidRPr="004E0F02">
        <w:rPr>
          <w:rFonts w:eastAsia="Times New Roman" w:cs="Times New Roman"/>
          <w:szCs w:val="24"/>
        </w:rPr>
        <w:t xml:space="preserve"> w </w:t>
      </w:r>
      <w:r w:rsidRPr="004E0F02">
        <w:rPr>
          <w:rFonts w:eastAsia="Times New Roman" w:cs="Times New Roman"/>
          <w:szCs w:val="24"/>
        </w:rPr>
        <w:t>Polsce. Nowa ustawa zastąpi obecnie obowiązującą ustawę</w:t>
      </w:r>
      <w:r w:rsidR="00E45B1D" w:rsidRPr="004E0F02">
        <w:rPr>
          <w:rFonts w:eastAsia="Times New Roman" w:cs="Times New Roman"/>
          <w:szCs w:val="24"/>
        </w:rPr>
        <w:t xml:space="preserve"> z </w:t>
      </w:r>
      <w:r w:rsidRPr="004E0F02">
        <w:rPr>
          <w:rFonts w:eastAsia="Times New Roman" w:cs="Times New Roman"/>
          <w:szCs w:val="24"/>
        </w:rPr>
        <w:t>dnia 2</w:t>
      </w:r>
      <w:r w:rsidR="00E45B1D" w:rsidRPr="004E0F02">
        <w:rPr>
          <w:rFonts w:eastAsia="Times New Roman" w:cs="Times New Roman"/>
          <w:szCs w:val="24"/>
        </w:rPr>
        <w:t>5 </w:t>
      </w:r>
      <w:r w:rsidRPr="004E0F02">
        <w:rPr>
          <w:rFonts w:eastAsia="Times New Roman" w:cs="Times New Roman"/>
          <w:szCs w:val="24"/>
        </w:rPr>
        <w:t>lutego 2016 r.</w:t>
      </w:r>
      <w:r w:rsidR="00E45B1D" w:rsidRPr="004E0F02">
        <w:rPr>
          <w:rFonts w:eastAsia="Times New Roman" w:cs="Times New Roman"/>
          <w:szCs w:val="24"/>
        </w:rPr>
        <w:t xml:space="preserve"> o </w:t>
      </w:r>
      <w:r w:rsidRPr="004E0F02">
        <w:rPr>
          <w:rFonts w:eastAsia="Times New Roman" w:cs="Times New Roman"/>
          <w:szCs w:val="24"/>
        </w:rPr>
        <w:t>ponownym wykorzystywaniu informacji sektora publicznego</w:t>
      </w:r>
      <w:r w:rsidRPr="004E0F02">
        <w:rPr>
          <w:rFonts w:eastAsia="Times New Roman" w:cs="Times New Roman"/>
          <w:szCs w:val="24"/>
          <w:vertAlign w:val="superscript"/>
        </w:rPr>
        <w:footnoteReference w:id="10"/>
      </w:r>
      <w:r w:rsidRPr="004E0F02">
        <w:rPr>
          <w:rFonts w:eastAsia="Times New Roman" w:cs="Times New Roman"/>
          <w:szCs w:val="24"/>
          <w:vertAlign w:val="superscript"/>
        </w:rPr>
        <w:t>)</w:t>
      </w:r>
      <w:r w:rsidRPr="004E0F02">
        <w:rPr>
          <w:rFonts w:eastAsia="Times New Roman" w:cs="Times New Roman"/>
          <w:szCs w:val="24"/>
        </w:rPr>
        <w:t>.</w:t>
      </w:r>
    </w:p>
    <w:p w14:paraId="33C24D87" w14:textId="19250099" w:rsidR="0039085A" w:rsidRPr="004E0F02" w:rsidRDefault="0039085A" w:rsidP="0039085A">
      <w:pPr>
        <w:widowControl/>
        <w:spacing w:after="120" w:line="276" w:lineRule="auto"/>
        <w:jc w:val="both"/>
        <w:rPr>
          <w:rFonts w:eastAsia="Times New Roman" w:cs="Times New Roman"/>
          <w:szCs w:val="24"/>
        </w:rPr>
      </w:pPr>
      <w:r w:rsidRPr="004E0F02">
        <w:rPr>
          <w:rFonts w:eastAsia="Times New Roman" w:cs="Times New Roman"/>
          <w:szCs w:val="24"/>
        </w:rPr>
        <w:t>Informacje sektora publicznego są ważnym materiałem wyjściowym dla produktów</w:t>
      </w:r>
      <w:r w:rsidR="00E45B1D" w:rsidRPr="004E0F02">
        <w:rPr>
          <w:rFonts w:eastAsia="Times New Roman" w:cs="Times New Roman"/>
          <w:szCs w:val="24"/>
        </w:rPr>
        <w:t xml:space="preserve"> i </w:t>
      </w:r>
      <w:r w:rsidRPr="004E0F02">
        <w:rPr>
          <w:rFonts w:eastAsia="Times New Roman" w:cs="Times New Roman"/>
          <w:szCs w:val="24"/>
        </w:rPr>
        <w:t>usług związanych</w:t>
      </w:r>
      <w:r w:rsidR="00E45B1D" w:rsidRPr="004E0F02">
        <w:rPr>
          <w:rFonts w:eastAsia="Times New Roman" w:cs="Times New Roman"/>
          <w:szCs w:val="24"/>
        </w:rPr>
        <w:t xml:space="preserve"> z </w:t>
      </w:r>
      <w:r w:rsidRPr="004E0F02">
        <w:rPr>
          <w:rFonts w:eastAsia="Times New Roman" w:cs="Times New Roman"/>
          <w:szCs w:val="24"/>
        </w:rPr>
        <w:t>zasobami cyfrowymi</w:t>
      </w:r>
      <w:r w:rsidR="00E45B1D" w:rsidRPr="004E0F02">
        <w:rPr>
          <w:rFonts w:eastAsia="Times New Roman" w:cs="Times New Roman"/>
          <w:szCs w:val="24"/>
        </w:rPr>
        <w:t xml:space="preserve"> o </w:t>
      </w:r>
      <w:r w:rsidRPr="004E0F02">
        <w:rPr>
          <w:rFonts w:eastAsia="Times New Roman" w:cs="Times New Roman"/>
          <w:szCs w:val="24"/>
        </w:rPr>
        <w:t>dotychczas niewykorzystanym potencjale. Podmioty publiczne wytwarzają, gromadzą lub przechowują ogromną ilość informacji</w:t>
      </w:r>
      <w:r w:rsidR="00E45B1D" w:rsidRPr="004E0F02">
        <w:rPr>
          <w:rFonts w:eastAsia="Times New Roman" w:cs="Times New Roman"/>
          <w:szCs w:val="24"/>
        </w:rPr>
        <w:t xml:space="preserve"> i </w:t>
      </w:r>
      <w:r w:rsidRPr="004E0F02">
        <w:rPr>
          <w:rFonts w:eastAsia="Times New Roman" w:cs="Times New Roman"/>
          <w:szCs w:val="24"/>
        </w:rPr>
        <w:t>treści, poczynając od danych statystycznych, gospodarczych lub środowiskowych, przez materiały archiwalne, po zdigitalizowane księgozbiory lub kolekcje dzieł sztuki. Wraz</w:t>
      </w:r>
      <w:r w:rsidR="00E45B1D" w:rsidRPr="004E0F02">
        <w:rPr>
          <w:rFonts w:eastAsia="Times New Roman" w:cs="Times New Roman"/>
          <w:szCs w:val="24"/>
        </w:rPr>
        <w:t xml:space="preserve"> z </w:t>
      </w:r>
      <w:r w:rsidRPr="004E0F02">
        <w:rPr>
          <w:rFonts w:eastAsia="Times New Roman" w:cs="Times New Roman"/>
          <w:szCs w:val="24"/>
        </w:rPr>
        <w:t>rewolucją cyfrową istotnie wzrosła wartość tego rodzaju zasobów dla innowacyjnych produktów lub usług wykorzystujących takie dane. Instytucja ponownego wykorzystywania koncentruje się na wykorzystywaniu gospodarczej wartości informacji sektora publicznego, gdzie służy ona jako materiał wyjściowych (surowiec) dla rozwoju nowych produktów i usług. Podczas gdy podmioty publiczne są twórcami, dysponentami</w:t>
      </w:r>
      <w:r w:rsidR="00E45B1D" w:rsidRPr="004E0F02">
        <w:rPr>
          <w:rFonts w:eastAsia="Times New Roman" w:cs="Times New Roman"/>
          <w:szCs w:val="24"/>
        </w:rPr>
        <w:t xml:space="preserve"> i </w:t>
      </w:r>
      <w:r w:rsidRPr="004E0F02">
        <w:rPr>
          <w:rFonts w:eastAsia="Times New Roman" w:cs="Times New Roman"/>
          <w:szCs w:val="24"/>
        </w:rPr>
        <w:t>dostawcami oryginalnego materiału (danych), sektor prywatny odgrywa istotną rolę jako uczestnik</w:t>
      </w:r>
      <w:r w:rsidR="00E45B1D" w:rsidRPr="004E0F02">
        <w:rPr>
          <w:rFonts w:eastAsia="Times New Roman" w:cs="Times New Roman"/>
          <w:szCs w:val="24"/>
        </w:rPr>
        <w:t xml:space="preserve"> i </w:t>
      </w:r>
      <w:r w:rsidRPr="004E0F02">
        <w:rPr>
          <w:rFonts w:eastAsia="Times New Roman" w:cs="Times New Roman"/>
          <w:szCs w:val="24"/>
        </w:rPr>
        <w:t>pośrednik procesu przetwarzania informacji między źródłem danych (podmiot publiczny),</w:t>
      </w:r>
      <w:r w:rsidR="00E45B1D" w:rsidRPr="004E0F02">
        <w:rPr>
          <w:rFonts w:eastAsia="Times New Roman" w:cs="Times New Roman"/>
          <w:szCs w:val="24"/>
        </w:rPr>
        <w:t xml:space="preserve"> a </w:t>
      </w:r>
      <w:r w:rsidRPr="004E0F02">
        <w:rPr>
          <w:rFonts w:eastAsia="Times New Roman" w:cs="Times New Roman"/>
          <w:szCs w:val="24"/>
        </w:rPr>
        <w:t>końcowym użytkownikiem. Poza celami gospodarczymi związanymi</w:t>
      </w:r>
      <w:r w:rsidR="00E45B1D" w:rsidRPr="004E0F02">
        <w:rPr>
          <w:rFonts w:eastAsia="Times New Roman" w:cs="Times New Roman"/>
          <w:szCs w:val="24"/>
        </w:rPr>
        <w:t xml:space="preserve"> z </w:t>
      </w:r>
      <w:r w:rsidRPr="004E0F02">
        <w:rPr>
          <w:rFonts w:eastAsia="Times New Roman" w:cs="Times New Roman"/>
          <w:szCs w:val="24"/>
        </w:rPr>
        <w:t>napędzaniem innowacji i</w:t>
      </w:r>
      <w:r w:rsidR="00C73706" w:rsidRPr="004E0F02">
        <w:rPr>
          <w:rFonts w:eastAsia="Times New Roman" w:cs="Times New Roman"/>
          <w:szCs w:val="24"/>
        </w:rPr>
        <w:t> </w:t>
      </w:r>
      <w:r w:rsidRPr="004E0F02">
        <w:rPr>
          <w:rFonts w:eastAsia="Times New Roman" w:cs="Times New Roman"/>
          <w:szCs w:val="24"/>
        </w:rPr>
        <w:t>kreatywności, które stymulują wzrost gospodarczy, możliwość ponownego wykorzystywania informacji wzmacnia również pozycję obywateli, wzmacniając tym samym demokrację uczestniczącą oraz promując przejrzystą, odpowiedzialną</w:t>
      </w:r>
      <w:r w:rsidR="00E45B1D" w:rsidRPr="004E0F02">
        <w:rPr>
          <w:rFonts w:eastAsia="Times New Roman" w:cs="Times New Roman"/>
          <w:szCs w:val="24"/>
        </w:rPr>
        <w:t xml:space="preserve"> i </w:t>
      </w:r>
      <w:r w:rsidRPr="004E0F02">
        <w:rPr>
          <w:rFonts w:eastAsia="Times New Roman" w:cs="Times New Roman"/>
          <w:szCs w:val="24"/>
        </w:rPr>
        <w:t>wydajniejszą administrację, funkcjonującą</w:t>
      </w:r>
      <w:r w:rsidR="00E45B1D" w:rsidRPr="004E0F02">
        <w:rPr>
          <w:rFonts w:eastAsia="Times New Roman" w:cs="Times New Roman"/>
          <w:szCs w:val="24"/>
        </w:rPr>
        <w:t xml:space="preserve"> w </w:t>
      </w:r>
      <w:r w:rsidRPr="004E0F02">
        <w:rPr>
          <w:rFonts w:eastAsia="Times New Roman" w:cs="Times New Roman"/>
          <w:szCs w:val="24"/>
        </w:rPr>
        <w:t>sposób znacznie bar</w:t>
      </w:r>
      <w:r w:rsidR="00687090" w:rsidRPr="004E0F02">
        <w:rPr>
          <w:rFonts w:eastAsia="Times New Roman" w:cs="Times New Roman"/>
          <w:szCs w:val="24"/>
        </w:rPr>
        <w:t>dziej transparenty</w:t>
      </w:r>
      <w:r w:rsidR="00E45B1D" w:rsidRPr="004E0F02">
        <w:rPr>
          <w:rFonts w:eastAsia="Times New Roman" w:cs="Times New Roman"/>
          <w:szCs w:val="24"/>
        </w:rPr>
        <w:t xml:space="preserve"> i </w:t>
      </w:r>
      <w:r w:rsidR="00687090" w:rsidRPr="004E0F02">
        <w:rPr>
          <w:rFonts w:eastAsia="Times New Roman" w:cs="Times New Roman"/>
          <w:szCs w:val="24"/>
        </w:rPr>
        <w:t>efektywny.</w:t>
      </w:r>
    </w:p>
    <w:p w14:paraId="40250AE3" w14:textId="473B9632" w:rsidR="0039085A" w:rsidRPr="004E0F02" w:rsidRDefault="0039085A" w:rsidP="0039085A">
      <w:pPr>
        <w:widowControl/>
        <w:spacing w:after="120" w:line="276" w:lineRule="auto"/>
        <w:jc w:val="both"/>
        <w:rPr>
          <w:rFonts w:eastAsia="Times New Roman" w:cs="Times New Roman"/>
          <w:szCs w:val="24"/>
        </w:rPr>
      </w:pPr>
      <w:r w:rsidRPr="004E0F02">
        <w:rPr>
          <w:rFonts w:eastAsia="Times New Roman" w:cs="Times New Roman"/>
          <w:szCs w:val="24"/>
        </w:rPr>
        <w:t>Szczególnie istotne jest przy tym rozróżnienie pomiędzy realizacją prawa dostępu do</w:t>
      </w:r>
      <w:r w:rsidR="00C73706" w:rsidRPr="004E0F02">
        <w:rPr>
          <w:rFonts w:eastAsia="Times New Roman" w:cs="Times New Roman"/>
          <w:szCs w:val="24"/>
        </w:rPr>
        <w:t> </w:t>
      </w:r>
      <w:r w:rsidRPr="004E0F02">
        <w:rPr>
          <w:rFonts w:eastAsia="Times New Roman" w:cs="Times New Roman"/>
          <w:szCs w:val="24"/>
        </w:rPr>
        <w:t>informacji publicznej (</w:t>
      </w:r>
      <w:r w:rsidRPr="004E0F02">
        <w:rPr>
          <w:rFonts w:eastAsia="Times New Roman" w:cs="Times New Roman"/>
          <w:i/>
          <w:szCs w:val="24"/>
        </w:rPr>
        <w:t>access to public sector information</w:t>
      </w:r>
      <w:r w:rsidRPr="004E0F02">
        <w:rPr>
          <w:rFonts w:eastAsia="Times New Roman" w:cs="Times New Roman"/>
          <w:szCs w:val="24"/>
        </w:rPr>
        <w:t>), regulowanego przez ustawę z</w:t>
      </w:r>
      <w:r w:rsidR="00C73706" w:rsidRPr="004E0F02">
        <w:rPr>
          <w:rFonts w:eastAsia="Times New Roman" w:cs="Times New Roman"/>
          <w:szCs w:val="24"/>
        </w:rPr>
        <w:t> </w:t>
      </w:r>
      <w:r w:rsidRPr="004E0F02">
        <w:rPr>
          <w:rFonts w:eastAsia="Times New Roman" w:cs="Times New Roman"/>
          <w:szCs w:val="24"/>
        </w:rPr>
        <w:t xml:space="preserve">dnia </w:t>
      </w:r>
      <w:r w:rsidR="00E45B1D" w:rsidRPr="004E0F02">
        <w:rPr>
          <w:rFonts w:eastAsia="Times New Roman" w:cs="Times New Roman"/>
          <w:szCs w:val="24"/>
        </w:rPr>
        <w:t>6 </w:t>
      </w:r>
      <w:r w:rsidRPr="004E0F02">
        <w:rPr>
          <w:rFonts w:eastAsia="Times New Roman" w:cs="Times New Roman"/>
          <w:szCs w:val="24"/>
        </w:rPr>
        <w:t>września 200</w:t>
      </w:r>
      <w:r w:rsidR="00E45B1D" w:rsidRPr="004E0F02">
        <w:rPr>
          <w:rFonts w:eastAsia="Times New Roman" w:cs="Times New Roman"/>
          <w:szCs w:val="24"/>
        </w:rPr>
        <w:t>1 </w:t>
      </w:r>
      <w:r w:rsidRPr="004E0F02">
        <w:rPr>
          <w:rFonts w:eastAsia="Times New Roman" w:cs="Times New Roman"/>
          <w:szCs w:val="24"/>
        </w:rPr>
        <w:t>r.</w:t>
      </w:r>
      <w:r w:rsidR="00E45B1D" w:rsidRPr="004E0F02">
        <w:rPr>
          <w:rFonts w:eastAsia="Times New Roman" w:cs="Times New Roman"/>
          <w:szCs w:val="24"/>
        </w:rPr>
        <w:t xml:space="preserve"> o </w:t>
      </w:r>
      <w:r w:rsidRPr="004E0F02">
        <w:rPr>
          <w:rFonts w:eastAsia="Times New Roman" w:cs="Times New Roman"/>
          <w:szCs w:val="24"/>
        </w:rPr>
        <w:t>dostępie do informacji publicznej</w:t>
      </w:r>
      <w:r w:rsidRPr="004E0F02">
        <w:rPr>
          <w:rFonts w:eastAsia="Times New Roman" w:cs="Times New Roman"/>
          <w:szCs w:val="24"/>
          <w:vertAlign w:val="superscript"/>
        </w:rPr>
        <w:footnoteReference w:id="11"/>
      </w:r>
      <w:r w:rsidRPr="004E0F02">
        <w:rPr>
          <w:rFonts w:eastAsia="Times New Roman" w:cs="Times New Roman"/>
          <w:szCs w:val="24"/>
          <w:vertAlign w:val="superscript"/>
        </w:rPr>
        <w:t>)</w:t>
      </w:r>
      <w:r w:rsidRPr="004E0F02">
        <w:rPr>
          <w:rFonts w:eastAsia="Times New Roman" w:cs="Times New Roman"/>
          <w:szCs w:val="24"/>
        </w:rPr>
        <w:t>,</w:t>
      </w:r>
      <w:r w:rsidR="00E45B1D" w:rsidRPr="004E0F02">
        <w:rPr>
          <w:rFonts w:eastAsia="Times New Roman" w:cs="Times New Roman"/>
          <w:szCs w:val="24"/>
        </w:rPr>
        <w:t xml:space="preserve"> a </w:t>
      </w:r>
      <w:r w:rsidRPr="004E0F02">
        <w:rPr>
          <w:rFonts w:eastAsia="Times New Roman" w:cs="Times New Roman"/>
          <w:szCs w:val="24"/>
        </w:rPr>
        <w:t>eksploatacją (ponownym wykorzystywaniem) informacji sektora publicznego (</w:t>
      </w:r>
      <w:r w:rsidRPr="004E0F02">
        <w:rPr>
          <w:rFonts w:eastAsia="Times New Roman" w:cs="Times New Roman"/>
          <w:i/>
          <w:szCs w:val="24"/>
        </w:rPr>
        <w:t>re</w:t>
      </w:r>
      <w:r w:rsidR="00E45B1D" w:rsidRPr="004E0F02">
        <w:rPr>
          <w:rFonts w:eastAsia="Times New Roman" w:cs="Times New Roman"/>
          <w:i/>
          <w:szCs w:val="24"/>
        </w:rPr>
        <w:softHyphen/>
      </w:r>
      <w:r w:rsidR="00E45B1D" w:rsidRPr="004E0F02">
        <w:rPr>
          <w:rFonts w:eastAsia="Times New Roman" w:cs="Times New Roman"/>
          <w:i/>
          <w:szCs w:val="24"/>
        </w:rPr>
        <w:noBreakHyphen/>
      </w:r>
      <w:r w:rsidRPr="004E0F02">
        <w:rPr>
          <w:rFonts w:eastAsia="Times New Roman" w:cs="Times New Roman"/>
          <w:i/>
          <w:szCs w:val="24"/>
        </w:rPr>
        <w:t>use of public sector information</w:t>
      </w:r>
      <w:r w:rsidRPr="004E0F02">
        <w:rPr>
          <w:rFonts w:eastAsia="Times New Roman" w:cs="Times New Roman"/>
          <w:szCs w:val="24"/>
        </w:rPr>
        <w:t>). Pojęcie informacji sektora publicznego jest przy tym szersze niż pojęcie informacji publicznej (szerzej na ten temat w uzasadnieniu do</w:t>
      </w:r>
      <w:r w:rsidR="00E45B1D" w:rsidRPr="004E0F02">
        <w:rPr>
          <w:rFonts w:eastAsia="Times New Roman" w:cs="Times New Roman"/>
          <w:szCs w:val="24"/>
        </w:rPr>
        <w:t xml:space="preserve"> art. 2 pkt 8 </w:t>
      </w:r>
      <w:r w:rsidRPr="004E0F02">
        <w:rPr>
          <w:rFonts w:eastAsia="Times New Roman" w:cs="Times New Roman"/>
          <w:szCs w:val="24"/>
        </w:rPr>
        <w:t xml:space="preserve">projektu ustawy). Dostęp do informacji </w:t>
      </w:r>
      <w:r w:rsidRPr="004E0F02">
        <w:rPr>
          <w:rFonts w:eastAsia="Times New Roman" w:cs="Times New Roman"/>
          <w:szCs w:val="24"/>
        </w:rPr>
        <w:lastRenderedPageBreak/>
        <w:t>publicznej, określony w ustawie</w:t>
      </w:r>
      <w:r w:rsidR="00E45B1D" w:rsidRPr="004E0F02">
        <w:rPr>
          <w:rFonts w:eastAsia="Times New Roman" w:cs="Times New Roman"/>
          <w:szCs w:val="24"/>
        </w:rPr>
        <w:t xml:space="preserve"> o </w:t>
      </w:r>
      <w:r w:rsidRPr="004E0F02">
        <w:rPr>
          <w:rFonts w:eastAsia="Times New Roman" w:cs="Times New Roman"/>
          <w:szCs w:val="24"/>
        </w:rPr>
        <w:t>dostępie do informacji publicznej stanowi implementację zasady jawności wyrażonej</w:t>
      </w:r>
      <w:r w:rsidR="00E45B1D" w:rsidRPr="004E0F02">
        <w:rPr>
          <w:rFonts w:eastAsia="Times New Roman" w:cs="Times New Roman"/>
          <w:szCs w:val="24"/>
        </w:rPr>
        <w:t xml:space="preserve"> w art. </w:t>
      </w:r>
      <w:r w:rsidRPr="004E0F02">
        <w:rPr>
          <w:rFonts w:eastAsia="Times New Roman" w:cs="Times New Roman"/>
          <w:szCs w:val="24"/>
        </w:rPr>
        <w:t>6</w:t>
      </w:r>
      <w:r w:rsidR="00E45B1D" w:rsidRPr="004E0F02">
        <w:rPr>
          <w:rFonts w:eastAsia="Times New Roman" w:cs="Times New Roman"/>
          <w:szCs w:val="24"/>
        </w:rPr>
        <w:t>1 </w:t>
      </w:r>
      <w:r w:rsidRPr="004E0F02">
        <w:rPr>
          <w:rFonts w:eastAsia="Times New Roman" w:cs="Times New Roman"/>
          <w:szCs w:val="24"/>
        </w:rPr>
        <w:t>Konstytucji Rzeczypospolitej Polskiej</w:t>
      </w:r>
      <w:r w:rsidRPr="004E0F02">
        <w:rPr>
          <w:rFonts w:eastAsia="Times New Roman" w:cs="Times New Roman"/>
          <w:szCs w:val="24"/>
          <w:vertAlign w:val="superscript"/>
        </w:rPr>
        <w:footnoteReference w:id="12"/>
      </w:r>
      <w:r w:rsidRPr="004E0F02">
        <w:rPr>
          <w:rFonts w:eastAsia="Times New Roman" w:cs="Times New Roman"/>
          <w:szCs w:val="24"/>
          <w:vertAlign w:val="superscript"/>
        </w:rPr>
        <w:t>)</w:t>
      </w:r>
      <w:r w:rsidRPr="004E0F02">
        <w:rPr>
          <w:rFonts w:eastAsia="Times New Roman" w:cs="Times New Roman"/>
          <w:szCs w:val="24"/>
        </w:rPr>
        <w:t>,</w:t>
      </w:r>
      <w:r w:rsidR="00E45B1D" w:rsidRPr="004E0F02">
        <w:rPr>
          <w:rFonts w:eastAsia="Times New Roman" w:cs="Times New Roman"/>
          <w:szCs w:val="24"/>
        </w:rPr>
        <w:t xml:space="preserve"> a </w:t>
      </w:r>
      <w:r w:rsidRPr="004E0F02">
        <w:rPr>
          <w:rFonts w:eastAsia="Times New Roman" w:cs="Times New Roman"/>
          <w:szCs w:val="24"/>
        </w:rPr>
        <w:t>prawo do</w:t>
      </w:r>
      <w:r w:rsidR="00C73706" w:rsidRPr="004E0F02">
        <w:rPr>
          <w:rFonts w:eastAsia="Times New Roman" w:cs="Times New Roman"/>
          <w:szCs w:val="24"/>
        </w:rPr>
        <w:t> </w:t>
      </w:r>
      <w:r w:rsidRPr="004E0F02">
        <w:rPr>
          <w:rFonts w:eastAsia="Times New Roman" w:cs="Times New Roman"/>
          <w:szCs w:val="24"/>
        </w:rPr>
        <w:t>informacji jest uważane za jedno z podstawowych praw człowieka. Natomiast w odniesieniu do ponownego wykorzystywania informacji sektora publicznego podkreśla się przede wszystkim jego gospodarczy</w:t>
      </w:r>
      <w:r w:rsidR="00E45B1D" w:rsidRPr="004E0F02">
        <w:rPr>
          <w:rFonts w:eastAsia="Times New Roman" w:cs="Times New Roman"/>
          <w:szCs w:val="24"/>
        </w:rPr>
        <w:t xml:space="preserve"> i </w:t>
      </w:r>
      <w:r w:rsidRPr="004E0F02">
        <w:rPr>
          <w:rFonts w:eastAsia="Times New Roman" w:cs="Times New Roman"/>
          <w:szCs w:val="24"/>
        </w:rPr>
        <w:t>społeczny charakter związany</w:t>
      </w:r>
      <w:r w:rsidR="00E45B1D" w:rsidRPr="004E0F02">
        <w:rPr>
          <w:rFonts w:eastAsia="Times New Roman" w:cs="Times New Roman"/>
          <w:szCs w:val="24"/>
        </w:rPr>
        <w:t xml:space="preserve"> z </w:t>
      </w:r>
      <w:r w:rsidRPr="004E0F02">
        <w:rPr>
          <w:rFonts w:eastAsia="Times New Roman" w:cs="Times New Roman"/>
          <w:szCs w:val="24"/>
        </w:rPr>
        <w:t xml:space="preserve">możliwością dalszego </w:t>
      </w:r>
      <w:r w:rsidR="004A4D78" w:rsidRPr="004E0F02">
        <w:rPr>
          <w:rFonts w:eastAsia="Times New Roman" w:cs="Times New Roman"/>
          <w:szCs w:val="24"/>
        </w:rPr>
        <w:t xml:space="preserve">wykorzystywania </w:t>
      </w:r>
      <w:r w:rsidRPr="004E0F02">
        <w:rPr>
          <w:rFonts w:eastAsia="Times New Roman" w:cs="Times New Roman"/>
          <w:szCs w:val="24"/>
        </w:rPr>
        <w:t>(przetworzenia) informacji.</w:t>
      </w:r>
    </w:p>
    <w:p w14:paraId="681F84F3" w14:textId="19258832"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Przyjęcie</w:t>
      </w:r>
      <w:r w:rsidR="00E45B1D" w:rsidRPr="004E0F02">
        <w:rPr>
          <w:rFonts w:eastAsia="Times New Roman" w:cs="Times New Roman"/>
          <w:szCs w:val="24"/>
        </w:rPr>
        <w:t xml:space="preserve"> w </w:t>
      </w:r>
      <w:r w:rsidRPr="004E0F02">
        <w:rPr>
          <w:rFonts w:eastAsia="Times New Roman" w:cs="Times New Roman"/>
          <w:szCs w:val="24"/>
        </w:rPr>
        <w:t>czerwcu 201</w:t>
      </w:r>
      <w:r w:rsidR="00E45B1D" w:rsidRPr="004E0F02">
        <w:rPr>
          <w:rFonts w:eastAsia="Times New Roman" w:cs="Times New Roman"/>
          <w:szCs w:val="24"/>
        </w:rPr>
        <w:t>9 </w:t>
      </w:r>
      <w:r w:rsidRPr="004E0F02">
        <w:rPr>
          <w:rFonts w:eastAsia="Times New Roman" w:cs="Times New Roman"/>
          <w:szCs w:val="24"/>
        </w:rPr>
        <w:t>r. nowej dyrektywy</w:t>
      </w:r>
      <w:r w:rsidR="00E45B1D" w:rsidRPr="004E0F02">
        <w:rPr>
          <w:rFonts w:eastAsia="Times New Roman" w:cs="Times New Roman"/>
          <w:szCs w:val="24"/>
        </w:rPr>
        <w:t xml:space="preserve"> w </w:t>
      </w:r>
      <w:r w:rsidRPr="004E0F02">
        <w:rPr>
          <w:rFonts w:eastAsia="Times New Roman" w:cs="Times New Roman"/>
          <w:szCs w:val="24"/>
        </w:rPr>
        <w:t>sprawie otwartych danych – dyrektywy 2019/1024/UE stanowiło efekt, zainicjowanych przez Komisję Europejską, prac legislacyjnych podjętych</w:t>
      </w:r>
      <w:r w:rsidR="00E45B1D" w:rsidRPr="004E0F02">
        <w:rPr>
          <w:rFonts w:eastAsia="Times New Roman" w:cs="Times New Roman"/>
          <w:szCs w:val="24"/>
        </w:rPr>
        <w:t xml:space="preserve"> w </w:t>
      </w:r>
      <w:r w:rsidRPr="004E0F02">
        <w:rPr>
          <w:rFonts w:eastAsia="Times New Roman" w:cs="Times New Roman"/>
          <w:szCs w:val="24"/>
        </w:rPr>
        <w:t>następstwie przeprowadzonego przeglądu dotychczasowych przepisów regulujących ponowne wykorzystywanie informacji sektora publicznego</w:t>
      </w:r>
      <w:r w:rsidRPr="004E0F02">
        <w:rPr>
          <w:rFonts w:eastAsia="Times New Roman" w:cs="Times New Roman"/>
          <w:szCs w:val="24"/>
          <w:vertAlign w:val="superscript"/>
        </w:rPr>
        <w:footnoteReference w:id="13"/>
      </w:r>
      <w:r w:rsidRPr="004E0F02">
        <w:rPr>
          <w:rFonts w:eastAsia="Times New Roman" w:cs="Times New Roman"/>
          <w:szCs w:val="24"/>
          <w:vertAlign w:val="superscript"/>
        </w:rPr>
        <w:t>)</w:t>
      </w:r>
      <w:r w:rsidRPr="004E0F02">
        <w:rPr>
          <w:rFonts w:eastAsia="Times New Roman" w:cs="Times New Roman"/>
          <w:szCs w:val="24"/>
        </w:rPr>
        <w:t>. Jest to już trzecia wersja dyrektywy o ponownym wykorzyst</w:t>
      </w:r>
      <w:r w:rsidR="00C73706" w:rsidRPr="004E0F02">
        <w:rPr>
          <w:rFonts w:eastAsia="Times New Roman" w:cs="Times New Roman"/>
          <w:szCs w:val="24"/>
        </w:rPr>
        <w:t>yw</w:t>
      </w:r>
      <w:r w:rsidRPr="004E0F02">
        <w:rPr>
          <w:rFonts w:eastAsia="Times New Roman" w:cs="Times New Roman"/>
          <w:szCs w:val="24"/>
        </w:rPr>
        <w:t>aniu informacji sektora publicznego. Dyrektywą 2003/98/WE Parlamentu Europejskiego</w:t>
      </w:r>
      <w:r w:rsidR="00E45B1D" w:rsidRPr="004E0F02">
        <w:rPr>
          <w:rFonts w:eastAsia="Times New Roman" w:cs="Times New Roman"/>
          <w:szCs w:val="24"/>
        </w:rPr>
        <w:t xml:space="preserve"> i </w:t>
      </w:r>
      <w:r w:rsidRPr="004E0F02">
        <w:rPr>
          <w:rFonts w:eastAsia="Times New Roman" w:cs="Times New Roman"/>
          <w:szCs w:val="24"/>
        </w:rPr>
        <w:t>Rady</w:t>
      </w:r>
      <w:r w:rsidR="00E45B1D" w:rsidRPr="004E0F02">
        <w:rPr>
          <w:rFonts w:eastAsia="Times New Roman" w:cs="Times New Roman"/>
          <w:szCs w:val="24"/>
        </w:rPr>
        <w:t xml:space="preserve"> z </w:t>
      </w:r>
      <w:r w:rsidRPr="004E0F02">
        <w:rPr>
          <w:rFonts w:eastAsia="Times New Roman" w:cs="Times New Roman"/>
          <w:szCs w:val="24"/>
        </w:rPr>
        <w:t>dnia 1</w:t>
      </w:r>
      <w:r w:rsidR="00E45B1D" w:rsidRPr="004E0F02">
        <w:rPr>
          <w:rFonts w:eastAsia="Times New Roman" w:cs="Times New Roman"/>
          <w:szCs w:val="24"/>
        </w:rPr>
        <w:t>7 </w:t>
      </w:r>
      <w:r w:rsidRPr="004E0F02">
        <w:rPr>
          <w:rFonts w:eastAsia="Times New Roman" w:cs="Times New Roman"/>
          <w:szCs w:val="24"/>
        </w:rPr>
        <w:t>listopada 200</w:t>
      </w:r>
      <w:r w:rsidR="00E45B1D" w:rsidRPr="004E0F02">
        <w:rPr>
          <w:rFonts w:eastAsia="Times New Roman" w:cs="Times New Roman"/>
          <w:szCs w:val="24"/>
        </w:rPr>
        <w:t>3 </w:t>
      </w:r>
      <w:r w:rsidRPr="004E0F02">
        <w:rPr>
          <w:rFonts w:eastAsia="Times New Roman" w:cs="Times New Roman"/>
          <w:szCs w:val="24"/>
        </w:rPr>
        <w:t>r.</w:t>
      </w:r>
      <w:r w:rsidR="00E45B1D" w:rsidRPr="004E0F02">
        <w:rPr>
          <w:rFonts w:eastAsia="Times New Roman" w:cs="Times New Roman"/>
          <w:szCs w:val="24"/>
        </w:rPr>
        <w:t xml:space="preserve"> w </w:t>
      </w:r>
      <w:r w:rsidRPr="004E0F02">
        <w:rPr>
          <w:rFonts w:eastAsia="Times New Roman" w:cs="Times New Roman"/>
          <w:szCs w:val="24"/>
        </w:rPr>
        <w:t>sprawie ponownego wykorzystywania informacji sektora publicznego</w:t>
      </w:r>
      <w:r w:rsidRPr="004E0F02">
        <w:rPr>
          <w:rFonts w:eastAsia="Times New Roman" w:cs="Times New Roman"/>
          <w:szCs w:val="24"/>
          <w:vertAlign w:val="superscript"/>
        </w:rPr>
        <w:footnoteReference w:id="14"/>
      </w:r>
      <w:r w:rsidRPr="004E0F02">
        <w:rPr>
          <w:rFonts w:eastAsia="Times New Roman" w:cs="Times New Roman"/>
          <w:szCs w:val="24"/>
          <w:vertAlign w:val="superscript"/>
        </w:rPr>
        <w:t>)</w:t>
      </w:r>
      <w:r w:rsidRPr="004E0F02">
        <w:rPr>
          <w:rFonts w:eastAsia="Times New Roman" w:cs="Times New Roman"/>
          <w:szCs w:val="24"/>
        </w:rPr>
        <w:t xml:space="preserve"> ustanowiono zestaw minimalnych przepisów określających ponowne wykorzystywanie dokumentów</w:t>
      </w:r>
      <w:r w:rsidRPr="004E0F02">
        <w:rPr>
          <w:rFonts w:eastAsia="Times New Roman" w:cs="Times New Roman"/>
          <w:szCs w:val="24"/>
          <w:vertAlign w:val="superscript"/>
        </w:rPr>
        <w:footnoteReference w:id="15"/>
      </w:r>
      <w:r w:rsidRPr="004E0F02">
        <w:rPr>
          <w:rFonts w:eastAsia="Times New Roman" w:cs="Times New Roman"/>
          <w:szCs w:val="24"/>
          <w:vertAlign w:val="superscript"/>
        </w:rPr>
        <w:t>)</w:t>
      </w:r>
      <w:r w:rsidR="00C73706" w:rsidRPr="004E0F02">
        <w:rPr>
          <w:rFonts w:eastAsia="Times New Roman" w:cs="Times New Roman"/>
          <w:szCs w:val="24"/>
          <w:vertAlign w:val="superscript"/>
        </w:rPr>
        <w:t xml:space="preserve"> </w:t>
      </w:r>
      <w:r w:rsidRPr="004E0F02">
        <w:rPr>
          <w:rFonts w:eastAsia="Times New Roman" w:cs="Times New Roman"/>
          <w:szCs w:val="24"/>
        </w:rPr>
        <w:t>będących w</w:t>
      </w:r>
      <w:r w:rsidR="00C73706" w:rsidRPr="004E0F02">
        <w:rPr>
          <w:rFonts w:eastAsia="Times New Roman" w:cs="Times New Roman"/>
          <w:szCs w:val="24"/>
        </w:rPr>
        <w:t> </w:t>
      </w:r>
      <w:r w:rsidRPr="004E0F02">
        <w:rPr>
          <w:rFonts w:eastAsia="Times New Roman" w:cs="Times New Roman"/>
          <w:szCs w:val="24"/>
        </w:rPr>
        <w:t xml:space="preserve">posiadaniu organów sektora publicznego państw członkowskich. Druga dyrektywa – dyrektywa </w:t>
      </w:r>
      <w:r w:rsidR="009D7107" w:rsidRPr="004E0F02">
        <w:rPr>
          <w:rFonts w:eastAsia="Times New Roman" w:cs="Times New Roman"/>
          <w:szCs w:val="24"/>
        </w:rPr>
        <w:t xml:space="preserve">Parlamentu Europejskiego i Rady </w:t>
      </w:r>
      <w:r w:rsidRPr="004E0F02">
        <w:rPr>
          <w:rFonts w:eastAsia="Times New Roman" w:cs="Times New Roman"/>
          <w:szCs w:val="24"/>
        </w:rPr>
        <w:t xml:space="preserve">2013/37/UE </w:t>
      </w:r>
      <w:r w:rsidR="00E45B1D" w:rsidRPr="004E0F02">
        <w:rPr>
          <w:rFonts w:eastAsia="Times New Roman" w:cs="Times New Roman"/>
          <w:szCs w:val="24"/>
        </w:rPr>
        <w:t>z </w:t>
      </w:r>
      <w:r w:rsidRPr="004E0F02">
        <w:rPr>
          <w:rFonts w:eastAsia="Times New Roman" w:cs="Times New Roman"/>
          <w:szCs w:val="24"/>
        </w:rPr>
        <w:t>dnia z dnia 2</w:t>
      </w:r>
      <w:r w:rsidR="00E45B1D" w:rsidRPr="004E0F02">
        <w:rPr>
          <w:rFonts w:eastAsia="Times New Roman" w:cs="Times New Roman"/>
          <w:szCs w:val="24"/>
        </w:rPr>
        <w:t>6 </w:t>
      </w:r>
      <w:r w:rsidRPr="004E0F02">
        <w:rPr>
          <w:rFonts w:eastAsia="Times New Roman" w:cs="Times New Roman"/>
          <w:szCs w:val="24"/>
        </w:rPr>
        <w:t>czerwca 201</w:t>
      </w:r>
      <w:r w:rsidR="00E45B1D" w:rsidRPr="004E0F02">
        <w:rPr>
          <w:rFonts w:eastAsia="Times New Roman" w:cs="Times New Roman"/>
          <w:szCs w:val="24"/>
        </w:rPr>
        <w:t>3 </w:t>
      </w:r>
      <w:r w:rsidRPr="004E0F02">
        <w:rPr>
          <w:rFonts w:eastAsia="Times New Roman" w:cs="Times New Roman"/>
          <w:szCs w:val="24"/>
        </w:rPr>
        <w:t>r. zmieniająca dyrektywę 2003/98/WE</w:t>
      </w:r>
      <w:r w:rsidR="00E45B1D" w:rsidRPr="004E0F02">
        <w:rPr>
          <w:rFonts w:eastAsia="Times New Roman" w:cs="Times New Roman"/>
          <w:szCs w:val="24"/>
        </w:rPr>
        <w:t xml:space="preserve"> w </w:t>
      </w:r>
      <w:r w:rsidRPr="004E0F02">
        <w:rPr>
          <w:rFonts w:eastAsia="Times New Roman" w:cs="Times New Roman"/>
          <w:szCs w:val="24"/>
        </w:rPr>
        <w:t>sprawie ponownego wykorzystywania informacji sektora publicznego</w:t>
      </w:r>
      <w:r w:rsidRPr="004E0F02">
        <w:rPr>
          <w:rFonts w:eastAsia="Times New Roman" w:cs="Times New Roman"/>
          <w:szCs w:val="24"/>
          <w:vertAlign w:val="superscript"/>
        </w:rPr>
        <w:footnoteReference w:id="16"/>
      </w:r>
      <w:r w:rsidRPr="004E0F02">
        <w:rPr>
          <w:rFonts w:eastAsia="Times New Roman" w:cs="Times New Roman"/>
          <w:szCs w:val="24"/>
          <w:vertAlign w:val="superscript"/>
        </w:rPr>
        <w:t>)</w:t>
      </w:r>
      <w:r w:rsidRPr="004E0F02">
        <w:rPr>
          <w:rFonts w:eastAsia="Times New Roman" w:cs="Times New Roman"/>
          <w:szCs w:val="24"/>
        </w:rPr>
        <w:t xml:space="preserve"> poszerzała zakres ponownego wykorzystania o zasoby bibliotek, archiwów</w:t>
      </w:r>
      <w:r w:rsidR="00E45B1D" w:rsidRPr="004E0F02">
        <w:rPr>
          <w:rFonts w:eastAsia="Times New Roman" w:cs="Times New Roman"/>
          <w:szCs w:val="24"/>
        </w:rPr>
        <w:t xml:space="preserve"> i </w:t>
      </w:r>
      <w:r w:rsidRPr="004E0F02">
        <w:rPr>
          <w:rFonts w:eastAsia="Times New Roman" w:cs="Times New Roman"/>
          <w:szCs w:val="24"/>
        </w:rPr>
        <w:t>muzeów. Od czasu przyjęcia pierwszego zestawu przepisów dotyczących ponownego wykorzystywania informacji sektora publicznego ilość danych na świecie, w tym danych publicznych, gwałtownie wzrosła oraz generowane</w:t>
      </w:r>
      <w:r w:rsidR="00E45B1D" w:rsidRPr="004E0F02">
        <w:rPr>
          <w:rFonts w:eastAsia="Times New Roman" w:cs="Times New Roman"/>
          <w:szCs w:val="24"/>
        </w:rPr>
        <w:t xml:space="preserve"> i </w:t>
      </w:r>
      <w:r w:rsidRPr="004E0F02">
        <w:rPr>
          <w:rFonts w:eastAsia="Times New Roman" w:cs="Times New Roman"/>
          <w:szCs w:val="24"/>
        </w:rPr>
        <w:t>gromadzone są nowe rodzaje informacji. Jednocześnie zmieniają się</w:t>
      </w:r>
      <w:r w:rsidR="00E45B1D" w:rsidRPr="004E0F02">
        <w:rPr>
          <w:rFonts w:eastAsia="Times New Roman" w:cs="Times New Roman"/>
          <w:szCs w:val="24"/>
        </w:rPr>
        <w:t xml:space="preserve"> i </w:t>
      </w:r>
      <w:r w:rsidRPr="004E0F02">
        <w:rPr>
          <w:rFonts w:eastAsia="Times New Roman" w:cs="Times New Roman"/>
          <w:szCs w:val="24"/>
        </w:rPr>
        <w:t>rozwijają technologie wykorzystywane do analizy i przetwarzania danych, jak np. uczenie maszynowe, sztuczna inteligencja czy Internet rzeczy. Powoduje to wzrost liczby nowych usług</w:t>
      </w:r>
      <w:r w:rsidR="00E45B1D" w:rsidRPr="004E0F02">
        <w:rPr>
          <w:rFonts w:eastAsia="Times New Roman" w:cs="Times New Roman"/>
          <w:szCs w:val="24"/>
        </w:rPr>
        <w:t xml:space="preserve"> i </w:t>
      </w:r>
      <w:r w:rsidRPr="004E0F02">
        <w:rPr>
          <w:rFonts w:eastAsia="Times New Roman" w:cs="Times New Roman"/>
          <w:szCs w:val="24"/>
        </w:rPr>
        <w:t>nowych zastosowań</w:t>
      </w:r>
      <w:r w:rsidR="00E45B1D" w:rsidRPr="004E0F02">
        <w:rPr>
          <w:rFonts w:eastAsia="Times New Roman" w:cs="Times New Roman"/>
          <w:szCs w:val="24"/>
        </w:rPr>
        <w:t xml:space="preserve"> w </w:t>
      </w:r>
      <w:r w:rsidRPr="004E0F02">
        <w:rPr>
          <w:rFonts w:eastAsia="Times New Roman" w:cs="Times New Roman"/>
          <w:szCs w:val="24"/>
        </w:rPr>
        <w:t>oparciu</w:t>
      </w:r>
      <w:r w:rsidR="00E45B1D" w:rsidRPr="004E0F02">
        <w:rPr>
          <w:rFonts w:eastAsia="Times New Roman" w:cs="Times New Roman"/>
          <w:szCs w:val="24"/>
        </w:rPr>
        <w:t xml:space="preserve"> o </w:t>
      </w:r>
      <w:r w:rsidRPr="004E0F02">
        <w:rPr>
          <w:rFonts w:eastAsia="Times New Roman" w:cs="Times New Roman"/>
          <w:szCs w:val="24"/>
        </w:rPr>
        <w:t>wykorzystywanie lub agregację danych.</w:t>
      </w:r>
      <w:r w:rsidR="00E45B1D" w:rsidRPr="004E0F02">
        <w:rPr>
          <w:rFonts w:eastAsia="Times New Roman" w:cs="Times New Roman"/>
          <w:szCs w:val="24"/>
        </w:rPr>
        <w:t xml:space="preserve"> W </w:t>
      </w:r>
      <w:r w:rsidRPr="004E0F02">
        <w:rPr>
          <w:rFonts w:eastAsia="Times New Roman" w:cs="Times New Roman"/>
          <w:szCs w:val="24"/>
        </w:rPr>
        <w:t>motywie 1</w:t>
      </w:r>
      <w:r w:rsidR="00E45B1D" w:rsidRPr="004E0F02">
        <w:rPr>
          <w:rFonts w:eastAsia="Times New Roman" w:cs="Times New Roman"/>
          <w:szCs w:val="24"/>
        </w:rPr>
        <w:t>0 </w:t>
      </w:r>
      <w:r w:rsidRPr="004E0F02">
        <w:rPr>
          <w:rFonts w:eastAsia="Times New Roman" w:cs="Times New Roman"/>
          <w:szCs w:val="24"/>
        </w:rPr>
        <w:t>preambuły dyrektywy 2019/1024/UE podkreślono, że</w:t>
      </w:r>
      <w:r w:rsidR="0082058E" w:rsidRPr="004E0F02">
        <w:rPr>
          <w:rFonts w:eastAsia="Times New Roman" w:cs="Times New Roman"/>
          <w:szCs w:val="24"/>
        </w:rPr>
        <w:t> </w:t>
      </w:r>
      <w:r w:rsidRPr="004E0F02">
        <w:rPr>
          <w:rFonts w:eastAsia="Times New Roman" w:cs="Times New Roman"/>
          <w:szCs w:val="24"/>
        </w:rPr>
        <w:t>przepisy pierwotnie przyjęte</w:t>
      </w:r>
      <w:r w:rsidR="00E45B1D" w:rsidRPr="004E0F02">
        <w:rPr>
          <w:rFonts w:eastAsia="Times New Roman" w:cs="Times New Roman"/>
          <w:szCs w:val="24"/>
        </w:rPr>
        <w:t xml:space="preserve"> w </w:t>
      </w:r>
      <w:r w:rsidRPr="004E0F02">
        <w:rPr>
          <w:rFonts w:eastAsia="Times New Roman" w:cs="Times New Roman"/>
          <w:szCs w:val="24"/>
        </w:rPr>
        <w:t>2003 r.</w:t>
      </w:r>
      <w:r w:rsidR="00E45B1D" w:rsidRPr="004E0F02">
        <w:rPr>
          <w:rFonts w:eastAsia="Times New Roman" w:cs="Times New Roman"/>
          <w:szCs w:val="24"/>
        </w:rPr>
        <w:t xml:space="preserve"> i </w:t>
      </w:r>
      <w:r w:rsidRPr="004E0F02">
        <w:rPr>
          <w:rFonts w:eastAsia="Times New Roman" w:cs="Times New Roman"/>
          <w:szCs w:val="24"/>
        </w:rPr>
        <w:t>zmienione</w:t>
      </w:r>
      <w:r w:rsidR="00E45B1D" w:rsidRPr="004E0F02">
        <w:rPr>
          <w:rFonts w:eastAsia="Times New Roman" w:cs="Times New Roman"/>
          <w:szCs w:val="24"/>
        </w:rPr>
        <w:t xml:space="preserve"> w </w:t>
      </w:r>
      <w:r w:rsidRPr="004E0F02">
        <w:rPr>
          <w:rFonts w:eastAsia="Times New Roman" w:cs="Times New Roman"/>
          <w:szCs w:val="24"/>
        </w:rPr>
        <w:t>2013 r. nie dotrzymują już kroku tym szybkim zmianom, co grozi utratą możliwości gospodarczych</w:t>
      </w:r>
      <w:r w:rsidR="00E45B1D" w:rsidRPr="004E0F02">
        <w:rPr>
          <w:rFonts w:eastAsia="Times New Roman" w:cs="Times New Roman"/>
          <w:szCs w:val="24"/>
        </w:rPr>
        <w:t xml:space="preserve"> i </w:t>
      </w:r>
      <w:r w:rsidRPr="004E0F02">
        <w:rPr>
          <w:rFonts w:eastAsia="Times New Roman" w:cs="Times New Roman"/>
          <w:szCs w:val="24"/>
        </w:rPr>
        <w:t>społecznych, jakie oferuje ponowne wykorzystywanie danych publicznych.</w:t>
      </w:r>
    </w:p>
    <w:p w14:paraId="1C3C39FE" w14:textId="6C2DDC22"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W związku</w:t>
      </w:r>
      <w:r w:rsidR="00E45B1D" w:rsidRPr="004E0F02">
        <w:rPr>
          <w:rFonts w:eastAsia="Times New Roman" w:cs="Times New Roman"/>
          <w:szCs w:val="24"/>
        </w:rPr>
        <w:t xml:space="preserve"> z </w:t>
      </w:r>
      <w:r w:rsidRPr="004E0F02">
        <w:rPr>
          <w:rFonts w:eastAsia="Times New Roman" w:cs="Times New Roman"/>
          <w:szCs w:val="24"/>
        </w:rPr>
        <w:t>powyższym, przyjmując dyrektywę 2019/1024/UE, wskazano na konieczność zaktualizowania dotychczasowych ram ustawodawczych ponownego wykorzystywania informacji sektora publicznego</w:t>
      </w:r>
      <w:r w:rsidR="00E45B1D" w:rsidRPr="004E0F02">
        <w:rPr>
          <w:rFonts w:eastAsia="Times New Roman" w:cs="Times New Roman"/>
          <w:szCs w:val="24"/>
        </w:rPr>
        <w:t xml:space="preserve"> w </w:t>
      </w:r>
      <w:r w:rsidRPr="004E0F02">
        <w:rPr>
          <w:rFonts w:eastAsia="Times New Roman" w:cs="Times New Roman"/>
          <w:szCs w:val="24"/>
        </w:rPr>
        <w:t>celu ich dostosowania do postępujących zmian</w:t>
      </w:r>
      <w:r w:rsidR="00E45B1D" w:rsidRPr="004E0F02">
        <w:rPr>
          <w:rFonts w:eastAsia="Times New Roman" w:cs="Times New Roman"/>
          <w:szCs w:val="24"/>
        </w:rPr>
        <w:t xml:space="preserve"> w </w:t>
      </w:r>
      <w:r w:rsidRPr="004E0F02">
        <w:rPr>
          <w:rFonts w:eastAsia="Times New Roman" w:cs="Times New Roman"/>
          <w:szCs w:val="24"/>
        </w:rPr>
        <w:t>dziedzinie technologii cyfrowych oraz zapewnienia pełnego wykorzystania potencjału informacji sektora publicznego dla europejskiej gospodarki</w:t>
      </w:r>
      <w:r w:rsidR="00E45B1D" w:rsidRPr="004E0F02">
        <w:rPr>
          <w:rFonts w:eastAsia="Times New Roman" w:cs="Times New Roman"/>
          <w:szCs w:val="24"/>
        </w:rPr>
        <w:t xml:space="preserve"> i </w:t>
      </w:r>
      <w:r w:rsidRPr="004E0F02">
        <w:rPr>
          <w:rFonts w:eastAsia="Times New Roman" w:cs="Times New Roman"/>
          <w:szCs w:val="24"/>
        </w:rPr>
        <w:t>europejskiego społeczeństwa. Zasadniczym celem zmian wprowadzonych w nowej dyrektywie jest przede wszystkim zwiększenie ilości danych dostępnych do ponownego wykorzystania</w:t>
      </w:r>
      <w:r w:rsidR="00E45B1D" w:rsidRPr="004E0F02">
        <w:rPr>
          <w:rFonts w:eastAsia="Times New Roman" w:cs="Times New Roman"/>
          <w:szCs w:val="24"/>
        </w:rPr>
        <w:t xml:space="preserve"> z </w:t>
      </w:r>
      <w:r w:rsidRPr="004E0F02">
        <w:rPr>
          <w:rFonts w:eastAsia="Times New Roman" w:cs="Times New Roman"/>
          <w:szCs w:val="24"/>
        </w:rPr>
        <w:t>korzyścią dla innowacyjności gospodarki</w:t>
      </w:r>
      <w:r w:rsidR="00E45B1D" w:rsidRPr="004E0F02">
        <w:rPr>
          <w:rFonts w:eastAsia="Times New Roman" w:cs="Times New Roman"/>
          <w:szCs w:val="24"/>
        </w:rPr>
        <w:t xml:space="preserve"> i </w:t>
      </w:r>
      <w:r w:rsidRPr="004E0F02">
        <w:rPr>
          <w:rFonts w:eastAsia="Times New Roman" w:cs="Times New Roman"/>
          <w:szCs w:val="24"/>
        </w:rPr>
        <w:t xml:space="preserve">jakości </w:t>
      </w:r>
      <w:r w:rsidRPr="004E0F02">
        <w:rPr>
          <w:rFonts w:eastAsia="Times New Roman" w:cs="Times New Roman"/>
          <w:szCs w:val="24"/>
        </w:rPr>
        <w:lastRenderedPageBreak/>
        <w:t>życia społeczeństwa, aby w większym stopniu wykorzystać potencjał informacji sektora publicznego.</w:t>
      </w:r>
    </w:p>
    <w:p w14:paraId="4D898556" w14:textId="5E95F2DF"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Główne elementy nowej dyrektywy opierają się na dotychczasowych przepisach</w:t>
      </w:r>
      <w:r w:rsidR="00E45B1D" w:rsidRPr="004E0F02">
        <w:rPr>
          <w:rFonts w:eastAsia="Times New Roman" w:cs="Times New Roman"/>
          <w:szCs w:val="24"/>
        </w:rPr>
        <w:t xml:space="preserve"> i </w:t>
      </w:r>
      <w:r w:rsidRPr="004E0F02">
        <w:rPr>
          <w:rFonts w:eastAsia="Times New Roman" w:cs="Times New Roman"/>
          <w:szCs w:val="24"/>
        </w:rPr>
        <w:t>nie będą mieć zasadniczego wpływu na procedurę</w:t>
      </w:r>
      <w:r w:rsidR="00E45B1D" w:rsidRPr="004E0F02">
        <w:rPr>
          <w:rFonts w:eastAsia="Times New Roman" w:cs="Times New Roman"/>
          <w:szCs w:val="24"/>
        </w:rPr>
        <w:t xml:space="preserve"> i </w:t>
      </w:r>
      <w:r w:rsidRPr="004E0F02">
        <w:rPr>
          <w:rFonts w:eastAsia="Times New Roman" w:cs="Times New Roman"/>
          <w:szCs w:val="24"/>
        </w:rPr>
        <w:t>zasady udostępniania informacji sektora publicznego do ponownego wykorzystywania. Jednocześnie jednak</w:t>
      </w:r>
      <w:r w:rsidR="00E45B1D" w:rsidRPr="004E0F02">
        <w:rPr>
          <w:rFonts w:eastAsia="Times New Roman" w:cs="Times New Roman"/>
          <w:szCs w:val="24"/>
        </w:rPr>
        <w:t xml:space="preserve"> w </w:t>
      </w:r>
      <w:r w:rsidRPr="004E0F02">
        <w:rPr>
          <w:rFonts w:eastAsia="Times New Roman" w:cs="Times New Roman"/>
          <w:szCs w:val="24"/>
        </w:rPr>
        <w:t>celu zwiększenia podaży wartościowych danych dostępnych do ponownego wykorzystania wyodrębniono spośród informacji sektora publicznego nowe kategorie danych, tj. dane</w:t>
      </w:r>
      <w:r w:rsidR="00E45B1D" w:rsidRPr="004E0F02">
        <w:rPr>
          <w:rFonts w:eastAsia="Times New Roman" w:cs="Times New Roman"/>
          <w:szCs w:val="24"/>
        </w:rPr>
        <w:t xml:space="preserve"> o </w:t>
      </w:r>
      <w:r w:rsidRPr="004E0F02">
        <w:rPr>
          <w:rFonts w:eastAsia="Times New Roman" w:cs="Times New Roman"/>
          <w:szCs w:val="24"/>
        </w:rPr>
        <w:t>wysokiej wartości oraz dane dynamiczne. Dane dynamiczne zdefiniowane zostały</w:t>
      </w:r>
      <w:r w:rsidR="00E45B1D" w:rsidRPr="004E0F02">
        <w:rPr>
          <w:rFonts w:eastAsia="Times New Roman" w:cs="Times New Roman"/>
          <w:szCs w:val="24"/>
        </w:rPr>
        <w:t xml:space="preserve"> w art. 2 pkt 8 </w:t>
      </w:r>
      <w:r w:rsidRPr="004E0F02">
        <w:rPr>
          <w:rFonts w:eastAsia="Times New Roman" w:cs="Times New Roman"/>
          <w:szCs w:val="24"/>
        </w:rPr>
        <w:t>dyrektywy 2019/1024/UE jako dokumenty</w:t>
      </w:r>
      <w:r w:rsidR="00E45B1D" w:rsidRPr="004E0F02">
        <w:rPr>
          <w:rFonts w:eastAsia="Times New Roman" w:cs="Times New Roman"/>
          <w:szCs w:val="24"/>
        </w:rPr>
        <w:t xml:space="preserve"> w </w:t>
      </w:r>
      <w:r w:rsidRPr="004E0F02">
        <w:rPr>
          <w:rFonts w:eastAsia="Times New Roman" w:cs="Times New Roman"/>
          <w:szCs w:val="24"/>
        </w:rPr>
        <w:t>formie cyfrowej podlegające częstym aktualizacjom lub aktualizacjom w</w:t>
      </w:r>
      <w:r w:rsidR="005A5FC0" w:rsidRPr="004E0F02">
        <w:rPr>
          <w:rFonts w:eastAsia="Times New Roman" w:cs="Times New Roman"/>
          <w:szCs w:val="24"/>
        </w:rPr>
        <w:t> </w:t>
      </w:r>
      <w:r w:rsidRPr="004E0F02">
        <w:rPr>
          <w:rFonts w:eastAsia="Times New Roman" w:cs="Times New Roman"/>
          <w:szCs w:val="24"/>
        </w:rPr>
        <w:t>czasie rzeczywistym, w szczególności ze względu na ich zmienność lub szybką dezaktualizację (za takie dane zasadniczo uznano dane wygenerowane przez czujniki).</w:t>
      </w:r>
      <w:r w:rsidR="00E45B1D" w:rsidRPr="004E0F02">
        <w:rPr>
          <w:rFonts w:eastAsia="Times New Roman" w:cs="Times New Roman"/>
          <w:szCs w:val="24"/>
        </w:rPr>
        <w:t xml:space="preserve"> Z </w:t>
      </w:r>
      <w:r w:rsidRPr="004E0F02">
        <w:rPr>
          <w:rFonts w:eastAsia="Times New Roman" w:cs="Times New Roman"/>
          <w:szCs w:val="24"/>
        </w:rPr>
        <w:t>kolei zgodnie</w:t>
      </w:r>
      <w:r w:rsidR="00E45B1D" w:rsidRPr="004E0F02">
        <w:rPr>
          <w:rFonts w:eastAsia="Times New Roman" w:cs="Times New Roman"/>
          <w:szCs w:val="24"/>
        </w:rPr>
        <w:t xml:space="preserve"> z art. 2 pkt </w:t>
      </w:r>
      <w:r w:rsidRPr="004E0F02">
        <w:rPr>
          <w:rFonts w:eastAsia="Times New Roman" w:cs="Times New Roman"/>
          <w:szCs w:val="24"/>
        </w:rPr>
        <w:t>1</w:t>
      </w:r>
      <w:r w:rsidR="00E45B1D" w:rsidRPr="004E0F02">
        <w:rPr>
          <w:rFonts w:eastAsia="Times New Roman" w:cs="Times New Roman"/>
          <w:szCs w:val="24"/>
        </w:rPr>
        <w:t>0 </w:t>
      </w:r>
      <w:r w:rsidRPr="004E0F02">
        <w:rPr>
          <w:rFonts w:eastAsia="Times New Roman" w:cs="Times New Roman"/>
          <w:szCs w:val="24"/>
        </w:rPr>
        <w:t>dyrektywy zbiory danych o wysokiej wartości oznaczają dokumenty, których ponowne wykorzystywanie wiąże się</w:t>
      </w:r>
      <w:r w:rsidR="00E45B1D" w:rsidRPr="004E0F02">
        <w:rPr>
          <w:rFonts w:eastAsia="Times New Roman" w:cs="Times New Roman"/>
          <w:szCs w:val="24"/>
        </w:rPr>
        <w:t xml:space="preserve"> z </w:t>
      </w:r>
      <w:r w:rsidRPr="004E0F02">
        <w:rPr>
          <w:rFonts w:eastAsia="Times New Roman" w:cs="Times New Roman"/>
          <w:szCs w:val="24"/>
        </w:rPr>
        <w:t>istotnymi korzyściami dla społeczeństwa, środowiska</w:t>
      </w:r>
      <w:r w:rsidR="00E45B1D" w:rsidRPr="004E0F02">
        <w:rPr>
          <w:rFonts w:eastAsia="Times New Roman" w:cs="Times New Roman"/>
          <w:szCs w:val="24"/>
        </w:rPr>
        <w:t xml:space="preserve"> i </w:t>
      </w:r>
      <w:r w:rsidRPr="004E0F02">
        <w:rPr>
          <w:rFonts w:eastAsia="Times New Roman" w:cs="Times New Roman"/>
          <w:szCs w:val="24"/>
        </w:rPr>
        <w:t>gospodarki,</w:t>
      </w:r>
      <w:r w:rsidR="00E45B1D" w:rsidRPr="004E0F02">
        <w:rPr>
          <w:rFonts w:eastAsia="Times New Roman" w:cs="Times New Roman"/>
          <w:szCs w:val="24"/>
        </w:rPr>
        <w:t xml:space="preserve"> w </w:t>
      </w:r>
      <w:r w:rsidRPr="004E0F02">
        <w:rPr>
          <w:rFonts w:eastAsia="Times New Roman" w:cs="Times New Roman"/>
          <w:szCs w:val="24"/>
        </w:rPr>
        <w:t>szczególności ze względu na ich przydatność do tworzenia usług i</w:t>
      </w:r>
      <w:r w:rsidR="005A5FC0" w:rsidRPr="004E0F02">
        <w:rPr>
          <w:rFonts w:eastAsia="Times New Roman" w:cs="Times New Roman"/>
          <w:szCs w:val="24"/>
        </w:rPr>
        <w:t> </w:t>
      </w:r>
      <w:r w:rsidRPr="004E0F02">
        <w:rPr>
          <w:rFonts w:eastAsia="Times New Roman" w:cs="Times New Roman"/>
          <w:szCs w:val="24"/>
        </w:rPr>
        <w:t>zastosowań</w:t>
      </w:r>
      <w:r w:rsidR="00E45B1D" w:rsidRPr="004E0F02">
        <w:rPr>
          <w:rFonts w:eastAsia="Times New Roman" w:cs="Times New Roman"/>
          <w:szCs w:val="24"/>
        </w:rPr>
        <w:t xml:space="preserve"> o </w:t>
      </w:r>
      <w:r w:rsidRPr="004E0F02">
        <w:rPr>
          <w:rFonts w:eastAsia="Times New Roman" w:cs="Times New Roman"/>
          <w:szCs w:val="24"/>
        </w:rPr>
        <w:t>wartości dodanej oraz nowych godziwych miejsc pracy wysokiej jakości, a</w:t>
      </w:r>
      <w:r w:rsidR="005A5FC0" w:rsidRPr="004E0F02">
        <w:rPr>
          <w:rFonts w:eastAsia="Times New Roman" w:cs="Times New Roman"/>
          <w:szCs w:val="24"/>
        </w:rPr>
        <w:t> </w:t>
      </w:r>
      <w:r w:rsidRPr="004E0F02">
        <w:rPr>
          <w:rFonts w:eastAsia="Times New Roman" w:cs="Times New Roman"/>
          <w:szCs w:val="24"/>
        </w:rPr>
        <w:t>także ze względu na liczbę potencjalnych beneficjentów usług</w:t>
      </w:r>
      <w:r w:rsidR="00E45B1D" w:rsidRPr="004E0F02">
        <w:rPr>
          <w:rFonts w:eastAsia="Times New Roman" w:cs="Times New Roman"/>
          <w:szCs w:val="24"/>
        </w:rPr>
        <w:t xml:space="preserve"> i </w:t>
      </w:r>
      <w:r w:rsidRPr="004E0F02">
        <w:rPr>
          <w:rFonts w:eastAsia="Times New Roman" w:cs="Times New Roman"/>
          <w:szCs w:val="24"/>
        </w:rPr>
        <w:t>zastosowań</w:t>
      </w:r>
      <w:r w:rsidR="00E45B1D" w:rsidRPr="004E0F02">
        <w:rPr>
          <w:rFonts w:eastAsia="Times New Roman" w:cs="Times New Roman"/>
          <w:szCs w:val="24"/>
        </w:rPr>
        <w:t xml:space="preserve"> o </w:t>
      </w:r>
      <w:r w:rsidRPr="004E0F02">
        <w:rPr>
          <w:rFonts w:eastAsia="Times New Roman" w:cs="Times New Roman"/>
          <w:szCs w:val="24"/>
        </w:rPr>
        <w:t>wartości dodanej opartych na tych zbiorach danych.</w:t>
      </w:r>
      <w:r w:rsidR="00E45B1D" w:rsidRPr="004E0F02">
        <w:rPr>
          <w:rFonts w:eastAsia="Times New Roman" w:cs="Times New Roman"/>
          <w:szCs w:val="24"/>
        </w:rPr>
        <w:t xml:space="preserve"> W </w:t>
      </w:r>
      <w:r w:rsidRPr="004E0F02">
        <w:rPr>
          <w:rFonts w:eastAsia="Times New Roman" w:cs="Times New Roman"/>
          <w:szCs w:val="24"/>
        </w:rPr>
        <w:t>odniesieniu do obu wyodrębnionych kategorii informacji sektora publicznego (danych dynamicznych oraz danych</w:t>
      </w:r>
      <w:r w:rsidR="00E45B1D" w:rsidRPr="004E0F02">
        <w:rPr>
          <w:rFonts w:eastAsia="Times New Roman" w:cs="Times New Roman"/>
          <w:szCs w:val="24"/>
        </w:rPr>
        <w:t xml:space="preserve"> o </w:t>
      </w:r>
      <w:r w:rsidRPr="004E0F02">
        <w:rPr>
          <w:rFonts w:eastAsia="Times New Roman" w:cs="Times New Roman"/>
          <w:szCs w:val="24"/>
        </w:rPr>
        <w:t xml:space="preserve">wysokiej wartości) w dyrektywie 2019/1024/UE ustalano szczególne zasady udostępniania tego rodzaju zasobów do ponownego wykorzystywania, dotyczą one m.in. konieczności zapewnienia użytkownikom dostępu do takich danych za pośrednictwem odpowiednich środków technicznych (interfejs programistyczny aplikacji </w:t>
      </w:r>
      <w:r w:rsidR="00E45B1D" w:rsidRPr="004E0F02">
        <w:rPr>
          <w:rFonts w:eastAsia="Times New Roman" w:cs="Times New Roman"/>
          <w:szCs w:val="24"/>
        </w:rPr>
        <w:noBreakHyphen/>
        <w:t xml:space="preserve"> </w:t>
      </w:r>
      <w:r w:rsidRPr="004E0F02">
        <w:rPr>
          <w:rFonts w:eastAsia="Times New Roman" w:cs="Times New Roman"/>
          <w:szCs w:val="24"/>
        </w:rPr>
        <w:t>API).</w:t>
      </w:r>
    </w:p>
    <w:p w14:paraId="2FCD19B2" w14:textId="05141357"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Mając na uwadze konieczność zwiększenia ilości informacji sektora publicznego do</w:t>
      </w:r>
      <w:r w:rsidR="005A5FC0" w:rsidRPr="004E0F02">
        <w:rPr>
          <w:rFonts w:eastAsia="Times New Roman" w:cs="Times New Roman"/>
          <w:szCs w:val="24"/>
        </w:rPr>
        <w:t> </w:t>
      </w:r>
      <w:r w:rsidRPr="004E0F02">
        <w:rPr>
          <w:rFonts w:eastAsia="Times New Roman" w:cs="Times New Roman"/>
          <w:szCs w:val="24"/>
        </w:rPr>
        <w:t>ponownego wykorzystywania zakresem zastosowania dyrektywy 2019/1024/UE objęto ponadto dane, które dotychczas pozostawały poza regulacjami ponownego wykorzystywania, tj. dane pochodzące</w:t>
      </w:r>
      <w:r w:rsidR="00E45B1D" w:rsidRPr="004E0F02">
        <w:rPr>
          <w:rFonts w:eastAsia="Times New Roman" w:cs="Times New Roman"/>
          <w:szCs w:val="24"/>
        </w:rPr>
        <w:t xml:space="preserve"> z </w:t>
      </w:r>
      <w:r w:rsidRPr="004E0F02">
        <w:rPr>
          <w:rFonts w:eastAsia="Times New Roman" w:cs="Times New Roman"/>
          <w:szCs w:val="24"/>
        </w:rPr>
        <w:t>przedsiębiorstw publicznych prowadzących działalność w wybranych sektorach gospodarki oraz określoną kategorię danych badawczych – danych badawczych spełniających wskazane</w:t>
      </w:r>
      <w:r w:rsidR="00E45B1D" w:rsidRPr="004E0F02">
        <w:rPr>
          <w:rFonts w:eastAsia="Times New Roman" w:cs="Times New Roman"/>
          <w:szCs w:val="24"/>
        </w:rPr>
        <w:t xml:space="preserve"> w </w:t>
      </w:r>
      <w:r w:rsidRPr="004E0F02">
        <w:rPr>
          <w:rFonts w:eastAsia="Times New Roman" w:cs="Times New Roman"/>
          <w:szCs w:val="24"/>
        </w:rPr>
        <w:t>dyrektywie warunki.</w:t>
      </w:r>
    </w:p>
    <w:p w14:paraId="6A5F9941" w14:textId="4FE69644"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 xml:space="preserve">Dyrektywa 2003/98/WE, której zakres </w:t>
      </w:r>
      <w:r w:rsidR="009D7107" w:rsidRPr="004E0F02">
        <w:rPr>
          <w:rFonts w:eastAsia="Times New Roman" w:cs="Times New Roman"/>
          <w:szCs w:val="24"/>
        </w:rPr>
        <w:t xml:space="preserve">podmiotowy </w:t>
      </w:r>
      <w:r w:rsidRPr="004E0F02">
        <w:rPr>
          <w:rFonts w:eastAsia="Times New Roman" w:cs="Times New Roman"/>
          <w:szCs w:val="24"/>
        </w:rPr>
        <w:t>oparto na regulacjach dyrektyw unijnych dotyczących zamówień publicznych, znajdowała zastosowanie j</w:t>
      </w:r>
      <w:r w:rsidR="005A5FC0" w:rsidRPr="004E0F02">
        <w:rPr>
          <w:rFonts w:eastAsia="Times New Roman" w:cs="Times New Roman"/>
          <w:szCs w:val="24"/>
        </w:rPr>
        <w:t>edynie do dokumentów będących</w:t>
      </w:r>
      <w:r w:rsidR="00E45B1D" w:rsidRPr="004E0F02">
        <w:rPr>
          <w:rFonts w:eastAsia="Times New Roman" w:cs="Times New Roman"/>
          <w:szCs w:val="24"/>
        </w:rPr>
        <w:t xml:space="preserve"> w </w:t>
      </w:r>
      <w:r w:rsidRPr="004E0F02">
        <w:rPr>
          <w:rFonts w:eastAsia="Times New Roman" w:cs="Times New Roman"/>
          <w:szCs w:val="24"/>
        </w:rPr>
        <w:t>posiadaniu organów sektora publicznego państw członkowskich (w ty</w:t>
      </w:r>
      <w:r w:rsidR="00843EBF" w:rsidRPr="004E0F02">
        <w:rPr>
          <w:rFonts w:eastAsia="Times New Roman" w:cs="Times New Roman"/>
          <w:szCs w:val="24"/>
        </w:rPr>
        <w:t xml:space="preserve">m podmiotów prawa publicznego), </w:t>
      </w:r>
      <w:r w:rsidRPr="004E0F02">
        <w:rPr>
          <w:rFonts w:eastAsia="Times New Roman" w:cs="Times New Roman"/>
          <w:szCs w:val="24"/>
        </w:rPr>
        <w:t>wyłączając tym samym</w:t>
      </w:r>
      <w:r w:rsidR="00E45B1D" w:rsidRPr="004E0F02">
        <w:rPr>
          <w:rFonts w:eastAsia="Times New Roman" w:cs="Times New Roman"/>
          <w:szCs w:val="24"/>
        </w:rPr>
        <w:t xml:space="preserve"> z </w:t>
      </w:r>
      <w:r w:rsidRPr="004E0F02">
        <w:rPr>
          <w:rFonts w:eastAsia="Times New Roman" w:cs="Times New Roman"/>
          <w:szCs w:val="24"/>
        </w:rPr>
        <w:t>zakresu swojego stosowania przedsiębiorstwa publiczne</w:t>
      </w:r>
      <w:r w:rsidRPr="004E0F02">
        <w:rPr>
          <w:rFonts w:eastAsia="Times New Roman" w:cs="Times New Roman"/>
          <w:szCs w:val="24"/>
          <w:vertAlign w:val="superscript"/>
        </w:rPr>
        <w:footnoteReference w:id="17"/>
      </w:r>
      <w:r w:rsidRPr="004E0F02">
        <w:rPr>
          <w:rFonts w:eastAsia="Times New Roman" w:cs="Times New Roman"/>
          <w:szCs w:val="24"/>
          <w:vertAlign w:val="superscript"/>
        </w:rPr>
        <w:t>)</w:t>
      </w:r>
      <w:r w:rsidR="005A5FC0" w:rsidRPr="004E0F02">
        <w:rPr>
          <w:rFonts w:eastAsia="Times New Roman" w:cs="Times New Roman"/>
          <w:szCs w:val="24"/>
        </w:rPr>
        <w:t>. Jednocześnie</w:t>
      </w:r>
      <w:r w:rsidR="00E45B1D" w:rsidRPr="004E0F02">
        <w:rPr>
          <w:rFonts w:eastAsia="Times New Roman" w:cs="Times New Roman"/>
          <w:szCs w:val="24"/>
        </w:rPr>
        <w:t xml:space="preserve"> w </w:t>
      </w:r>
      <w:r w:rsidRPr="004E0F02">
        <w:rPr>
          <w:rFonts w:eastAsia="Times New Roman" w:cs="Times New Roman"/>
          <w:szCs w:val="24"/>
        </w:rPr>
        <w:t>motywie 2</w:t>
      </w:r>
      <w:r w:rsidR="00E45B1D" w:rsidRPr="004E0F02">
        <w:rPr>
          <w:rFonts w:eastAsia="Times New Roman" w:cs="Times New Roman"/>
          <w:szCs w:val="24"/>
        </w:rPr>
        <w:t>4 </w:t>
      </w:r>
      <w:r w:rsidRPr="004E0F02">
        <w:rPr>
          <w:rFonts w:eastAsia="Times New Roman" w:cs="Times New Roman"/>
          <w:szCs w:val="24"/>
        </w:rPr>
        <w:t>preambuły dyrektywy 2019/1024/UE podkreślono, że państwa członkowskie często zlecają świadczenie usług w</w:t>
      </w:r>
      <w:r w:rsidR="005A5FC0" w:rsidRPr="004E0F02">
        <w:rPr>
          <w:rFonts w:eastAsia="Times New Roman" w:cs="Times New Roman"/>
          <w:szCs w:val="24"/>
        </w:rPr>
        <w:t> </w:t>
      </w:r>
      <w:r w:rsidRPr="004E0F02">
        <w:rPr>
          <w:rFonts w:eastAsia="Times New Roman" w:cs="Times New Roman"/>
          <w:szCs w:val="24"/>
        </w:rPr>
        <w:t>interesie ogólnym podmiotom spoza sektora publicznego (innym niż organy sektora publicznego), zachowując jednocześnie wysoki stopień kontroli nad takimi podmiotami (przedsiębiorstwami publicznymi). Prowadzi to do niskiej dostępności do ponownego wykorzystywania dokumentów produkowanych przy realizacji usług świadczonych</w:t>
      </w:r>
      <w:r w:rsidR="00E45B1D" w:rsidRPr="004E0F02">
        <w:rPr>
          <w:rFonts w:eastAsia="Times New Roman" w:cs="Times New Roman"/>
          <w:szCs w:val="24"/>
        </w:rPr>
        <w:t xml:space="preserve"> w </w:t>
      </w:r>
      <w:r w:rsidRPr="004E0F02">
        <w:rPr>
          <w:rFonts w:eastAsia="Times New Roman" w:cs="Times New Roman"/>
          <w:szCs w:val="24"/>
        </w:rPr>
        <w:t>interesie ogólnym</w:t>
      </w:r>
      <w:r w:rsidR="00E45B1D" w:rsidRPr="004E0F02">
        <w:rPr>
          <w:rFonts w:eastAsia="Times New Roman" w:cs="Times New Roman"/>
          <w:szCs w:val="24"/>
        </w:rPr>
        <w:t xml:space="preserve"> w </w:t>
      </w:r>
      <w:r w:rsidRPr="004E0F02">
        <w:rPr>
          <w:rFonts w:eastAsia="Times New Roman" w:cs="Times New Roman"/>
          <w:szCs w:val="24"/>
        </w:rPr>
        <w:t>wielu obszarach,</w:t>
      </w:r>
      <w:r w:rsidR="00E45B1D" w:rsidRPr="004E0F02">
        <w:rPr>
          <w:rFonts w:eastAsia="Times New Roman" w:cs="Times New Roman"/>
          <w:szCs w:val="24"/>
        </w:rPr>
        <w:t xml:space="preserve"> w </w:t>
      </w:r>
      <w:r w:rsidRPr="004E0F02">
        <w:rPr>
          <w:rFonts w:eastAsia="Times New Roman" w:cs="Times New Roman"/>
          <w:szCs w:val="24"/>
        </w:rPr>
        <w:t>szczególności</w:t>
      </w:r>
      <w:r w:rsidR="00E45B1D" w:rsidRPr="004E0F02">
        <w:rPr>
          <w:rFonts w:eastAsia="Times New Roman" w:cs="Times New Roman"/>
          <w:szCs w:val="24"/>
        </w:rPr>
        <w:t xml:space="preserve"> w </w:t>
      </w:r>
      <w:r w:rsidRPr="004E0F02">
        <w:rPr>
          <w:rFonts w:eastAsia="Times New Roman" w:cs="Times New Roman"/>
          <w:szCs w:val="24"/>
        </w:rPr>
        <w:t xml:space="preserve">sektorach użyteczności publicznej. Taki stan rzeczy w znacznym stopniu zmniejsza również możliwość tworzenia usług transgranicznych </w:t>
      </w:r>
      <w:r w:rsidRPr="004E0F02">
        <w:rPr>
          <w:rFonts w:eastAsia="Times New Roman" w:cs="Times New Roman"/>
          <w:szCs w:val="24"/>
        </w:rPr>
        <w:lastRenderedPageBreak/>
        <w:t>opierających się na dokumentach będących</w:t>
      </w:r>
      <w:r w:rsidR="00E45B1D" w:rsidRPr="004E0F02">
        <w:rPr>
          <w:rFonts w:eastAsia="Times New Roman" w:cs="Times New Roman"/>
          <w:szCs w:val="24"/>
        </w:rPr>
        <w:t xml:space="preserve"> w </w:t>
      </w:r>
      <w:r w:rsidRPr="004E0F02">
        <w:rPr>
          <w:rFonts w:eastAsia="Times New Roman" w:cs="Times New Roman"/>
          <w:szCs w:val="24"/>
        </w:rPr>
        <w:t>posiadaniu przedsiębiorstw publicznych, które świadczą usługi w interesie ogólnym.</w:t>
      </w:r>
      <w:r w:rsidR="00E45B1D" w:rsidRPr="004E0F02">
        <w:rPr>
          <w:rFonts w:eastAsia="Times New Roman" w:cs="Times New Roman"/>
          <w:szCs w:val="24"/>
        </w:rPr>
        <w:t xml:space="preserve"> W </w:t>
      </w:r>
      <w:r w:rsidRPr="004E0F02">
        <w:rPr>
          <w:rFonts w:eastAsia="Times New Roman" w:cs="Times New Roman"/>
          <w:szCs w:val="24"/>
        </w:rPr>
        <w:t>celu zmiany takiego stanu rzeczy zakres zastosowania nowej dyrektywy poszerzono</w:t>
      </w:r>
      <w:r w:rsidR="00E45B1D" w:rsidRPr="004E0F02">
        <w:rPr>
          <w:rFonts w:eastAsia="Times New Roman" w:cs="Times New Roman"/>
          <w:szCs w:val="24"/>
        </w:rPr>
        <w:t xml:space="preserve"> o </w:t>
      </w:r>
      <w:r w:rsidRPr="004E0F02">
        <w:rPr>
          <w:rFonts w:eastAsia="Times New Roman" w:cs="Times New Roman"/>
          <w:szCs w:val="24"/>
        </w:rPr>
        <w:t>dokumenty będące</w:t>
      </w:r>
      <w:r w:rsidR="00E45B1D" w:rsidRPr="004E0F02">
        <w:rPr>
          <w:rFonts w:eastAsia="Times New Roman" w:cs="Times New Roman"/>
          <w:szCs w:val="24"/>
        </w:rPr>
        <w:t xml:space="preserve"> w </w:t>
      </w:r>
      <w:r w:rsidRPr="004E0F02">
        <w:rPr>
          <w:rFonts w:eastAsia="Times New Roman" w:cs="Times New Roman"/>
          <w:szCs w:val="24"/>
        </w:rPr>
        <w:t>posiadaniu przedsiębiorstw publicznych</w:t>
      </w:r>
      <w:r w:rsidR="00E45B1D" w:rsidRPr="004E0F02">
        <w:rPr>
          <w:rFonts w:eastAsia="Times New Roman" w:cs="Times New Roman"/>
          <w:szCs w:val="24"/>
        </w:rPr>
        <w:t xml:space="preserve"> w </w:t>
      </w:r>
      <w:r w:rsidRPr="004E0F02">
        <w:rPr>
          <w:rFonts w:eastAsia="Times New Roman" w:cs="Times New Roman"/>
          <w:szCs w:val="24"/>
        </w:rPr>
        <w:t>rozumieniu</w:t>
      </w:r>
      <w:r w:rsidR="00E45B1D" w:rsidRPr="004E0F02">
        <w:rPr>
          <w:rFonts w:eastAsia="Times New Roman" w:cs="Times New Roman"/>
          <w:szCs w:val="24"/>
        </w:rPr>
        <w:t xml:space="preserve"> art. 2 pkt 3 </w:t>
      </w:r>
      <w:r w:rsidRPr="004E0F02">
        <w:rPr>
          <w:rFonts w:eastAsia="Times New Roman" w:cs="Times New Roman"/>
          <w:szCs w:val="24"/>
        </w:rPr>
        <w:t>dyrektywy 2019/1024/UE, których definicja sformułowana została (podobnie jak w przypadku definicji organu sektora publicznego)</w:t>
      </w:r>
      <w:r w:rsidR="00E45B1D" w:rsidRPr="004E0F02">
        <w:rPr>
          <w:rFonts w:eastAsia="Times New Roman" w:cs="Times New Roman"/>
          <w:szCs w:val="24"/>
        </w:rPr>
        <w:t xml:space="preserve"> w </w:t>
      </w:r>
      <w:r w:rsidRPr="004E0F02">
        <w:rPr>
          <w:rFonts w:eastAsia="Times New Roman" w:cs="Times New Roman"/>
          <w:szCs w:val="24"/>
        </w:rPr>
        <w:t>oparciu</w:t>
      </w:r>
      <w:r w:rsidR="00E45B1D" w:rsidRPr="004E0F02">
        <w:rPr>
          <w:rFonts w:eastAsia="Times New Roman" w:cs="Times New Roman"/>
          <w:szCs w:val="24"/>
        </w:rPr>
        <w:t xml:space="preserve"> o </w:t>
      </w:r>
      <w:r w:rsidRPr="004E0F02">
        <w:rPr>
          <w:rFonts w:eastAsia="Times New Roman" w:cs="Times New Roman"/>
          <w:szCs w:val="24"/>
        </w:rPr>
        <w:t>przepisy prawa unijnego</w:t>
      </w:r>
      <w:r w:rsidR="00E45B1D" w:rsidRPr="004E0F02">
        <w:rPr>
          <w:rFonts w:eastAsia="Times New Roman" w:cs="Times New Roman"/>
          <w:szCs w:val="24"/>
        </w:rPr>
        <w:t xml:space="preserve"> w </w:t>
      </w:r>
      <w:r w:rsidRPr="004E0F02">
        <w:rPr>
          <w:rFonts w:eastAsia="Times New Roman" w:cs="Times New Roman"/>
          <w:szCs w:val="24"/>
        </w:rPr>
        <w:t>zakresie zamówień publicznych.</w:t>
      </w:r>
    </w:p>
    <w:p w14:paraId="7087396A" w14:textId="5F30A9C2"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Poprzednio obowiązująca dyrektywa (dyrektywa 2003/98/WE) wyłączała</w:t>
      </w:r>
      <w:r w:rsidR="00E45B1D" w:rsidRPr="004E0F02">
        <w:rPr>
          <w:rFonts w:eastAsia="Times New Roman" w:cs="Times New Roman"/>
          <w:szCs w:val="24"/>
        </w:rPr>
        <w:t xml:space="preserve"> z </w:t>
      </w:r>
      <w:r w:rsidRPr="004E0F02">
        <w:rPr>
          <w:rFonts w:eastAsia="Times New Roman" w:cs="Times New Roman"/>
          <w:szCs w:val="24"/>
        </w:rPr>
        <w:t>zakresu swojego zastosowania również dokumenty znajdujące się</w:t>
      </w:r>
      <w:r w:rsidR="00E45B1D" w:rsidRPr="004E0F02">
        <w:rPr>
          <w:rFonts w:eastAsia="Times New Roman" w:cs="Times New Roman"/>
          <w:szCs w:val="24"/>
        </w:rPr>
        <w:t xml:space="preserve"> w </w:t>
      </w:r>
      <w:r w:rsidRPr="004E0F02">
        <w:rPr>
          <w:rFonts w:eastAsia="Times New Roman" w:cs="Times New Roman"/>
          <w:szCs w:val="24"/>
        </w:rPr>
        <w:t>posiadaniu instytucji edukacyjnych i</w:t>
      </w:r>
      <w:r w:rsidR="00260057" w:rsidRPr="004E0F02">
        <w:rPr>
          <w:rFonts w:eastAsia="Times New Roman" w:cs="Times New Roman"/>
          <w:szCs w:val="24"/>
        </w:rPr>
        <w:t> </w:t>
      </w:r>
      <w:r w:rsidRPr="004E0F02">
        <w:rPr>
          <w:rFonts w:eastAsia="Times New Roman" w:cs="Times New Roman"/>
          <w:szCs w:val="24"/>
        </w:rPr>
        <w:t>badawczych,</w:t>
      </w:r>
      <w:r w:rsidR="00E45B1D" w:rsidRPr="004E0F02">
        <w:rPr>
          <w:rFonts w:eastAsia="Times New Roman" w:cs="Times New Roman"/>
          <w:szCs w:val="24"/>
        </w:rPr>
        <w:t xml:space="preserve"> w </w:t>
      </w:r>
      <w:r w:rsidRPr="004E0F02">
        <w:rPr>
          <w:rFonts w:eastAsia="Times New Roman" w:cs="Times New Roman"/>
          <w:szCs w:val="24"/>
        </w:rPr>
        <w:t>tym organizacji ustanowionych</w:t>
      </w:r>
      <w:r w:rsidR="00E45B1D" w:rsidRPr="004E0F02">
        <w:rPr>
          <w:rFonts w:eastAsia="Times New Roman" w:cs="Times New Roman"/>
          <w:szCs w:val="24"/>
        </w:rPr>
        <w:t xml:space="preserve"> w </w:t>
      </w:r>
      <w:r w:rsidRPr="004E0F02">
        <w:rPr>
          <w:rFonts w:eastAsia="Times New Roman" w:cs="Times New Roman"/>
          <w:szCs w:val="24"/>
        </w:rPr>
        <w:t>celu przekazywania wyników badań, szkół</w:t>
      </w:r>
      <w:r w:rsidR="00E45B1D" w:rsidRPr="004E0F02">
        <w:rPr>
          <w:rFonts w:eastAsia="Times New Roman" w:cs="Times New Roman"/>
          <w:szCs w:val="24"/>
        </w:rPr>
        <w:t xml:space="preserve"> i </w:t>
      </w:r>
      <w:r w:rsidRPr="004E0F02">
        <w:rPr>
          <w:rFonts w:eastAsia="Times New Roman" w:cs="Times New Roman"/>
          <w:szCs w:val="24"/>
        </w:rPr>
        <w:t xml:space="preserve">uniwersytetów, z wyłączeniem bibliotek uniwersyteckich (art. </w:t>
      </w:r>
      <w:r w:rsidR="00E45B1D" w:rsidRPr="004E0F02">
        <w:rPr>
          <w:rFonts w:eastAsia="Times New Roman" w:cs="Times New Roman"/>
          <w:szCs w:val="24"/>
        </w:rPr>
        <w:t>1 ust. 2 lit. </w:t>
      </w:r>
      <w:r w:rsidRPr="004E0F02">
        <w:rPr>
          <w:rFonts w:eastAsia="Times New Roman" w:cs="Times New Roman"/>
          <w:szCs w:val="24"/>
        </w:rPr>
        <w:t>e dyrektywy</w:t>
      </w:r>
      <w:r w:rsidR="009D7107" w:rsidRPr="004E0F02">
        <w:rPr>
          <w:rFonts w:eastAsia="Times New Roman" w:cs="Times New Roman"/>
          <w:szCs w:val="24"/>
        </w:rPr>
        <w:t xml:space="preserve"> 2003/98/WE</w:t>
      </w:r>
      <w:r w:rsidRPr="004E0F02">
        <w:rPr>
          <w:rFonts w:eastAsia="Times New Roman" w:cs="Times New Roman"/>
          <w:szCs w:val="24"/>
        </w:rPr>
        <w:t>). Prowadziło do istotnego ograniczenia możliwości ponownego wykorzystywania informacji sektora publicznego wytworzonych, czy też zgromadzonych</w:t>
      </w:r>
      <w:r w:rsidR="00E45B1D" w:rsidRPr="004E0F02">
        <w:rPr>
          <w:rFonts w:eastAsia="Times New Roman" w:cs="Times New Roman"/>
          <w:szCs w:val="24"/>
        </w:rPr>
        <w:t xml:space="preserve"> w </w:t>
      </w:r>
      <w:r w:rsidRPr="004E0F02">
        <w:rPr>
          <w:rFonts w:eastAsia="Times New Roman" w:cs="Times New Roman"/>
          <w:szCs w:val="24"/>
        </w:rPr>
        <w:t>ramach działalności naukowo</w:t>
      </w:r>
      <w:r w:rsidR="00E45B1D" w:rsidRPr="004E0F02">
        <w:rPr>
          <w:rFonts w:eastAsia="Times New Roman" w:cs="Times New Roman"/>
          <w:szCs w:val="24"/>
        </w:rPr>
        <w:softHyphen/>
      </w:r>
      <w:r w:rsidR="00E45B1D" w:rsidRPr="004E0F02">
        <w:rPr>
          <w:rFonts w:eastAsia="Times New Roman" w:cs="Times New Roman"/>
          <w:szCs w:val="24"/>
        </w:rPr>
        <w:noBreakHyphen/>
      </w:r>
      <w:r w:rsidRPr="004E0F02">
        <w:rPr>
          <w:rFonts w:eastAsia="Times New Roman" w:cs="Times New Roman"/>
          <w:szCs w:val="24"/>
        </w:rPr>
        <w:t>badawczej organów sektora publicznego. Obecnie ilość generowanych danych badawczych rośnie</w:t>
      </w:r>
      <w:r w:rsidR="00E45B1D" w:rsidRPr="004E0F02">
        <w:rPr>
          <w:rFonts w:eastAsia="Times New Roman" w:cs="Times New Roman"/>
          <w:szCs w:val="24"/>
        </w:rPr>
        <w:t xml:space="preserve"> w </w:t>
      </w:r>
      <w:r w:rsidRPr="004E0F02">
        <w:rPr>
          <w:rFonts w:eastAsia="Times New Roman" w:cs="Times New Roman"/>
          <w:szCs w:val="24"/>
        </w:rPr>
        <w:t>gwałtownym tempie,</w:t>
      </w:r>
      <w:r w:rsidR="00E45B1D" w:rsidRPr="004E0F02">
        <w:rPr>
          <w:rFonts w:eastAsia="Times New Roman" w:cs="Times New Roman"/>
          <w:szCs w:val="24"/>
        </w:rPr>
        <w:t xml:space="preserve"> a </w:t>
      </w:r>
      <w:r w:rsidRPr="004E0F02">
        <w:rPr>
          <w:rFonts w:eastAsia="Times New Roman" w:cs="Times New Roman"/>
          <w:szCs w:val="24"/>
        </w:rPr>
        <w:t>możliwości ich ponownego wykorzystywania wykraczają poza środowisko naukowe. Aby umożliwić sprostanie rosnącym wyzwaniom społecznym i</w:t>
      </w:r>
      <w:r w:rsidR="0050342B" w:rsidRPr="004E0F02">
        <w:rPr>
          <w:rFonts w:eastAsia="Times New Roman" w:cs="Times New Roman"/>
          <w:szCs w:val="24"/>
        </w:rPr>
        <w:t> </w:t>
      </w:r>
      <w:r w:rsidRPr="004E0F02">
        <w:rPr>
          <w:rFonts w:eastAsia="Times New Roman" w:cs="Times New Roman"/>
          <w:szCs w:val="24"/>
        </w:rPr>
        <w:t>gospodarczym za niezwykle ważną</w:t>
      </w:r>
      <w:r w:rsidR="00E45B1D" w:rsidRPr="004E0F02">
        <w:rPr>
          <w:rFonts w:eastAsia="Times New Roman" w:cs="Times New Roman"/>
          <w:szCs w:val="24"/>
        </w:rPr>
        <w:t xml:space="preserve"> i </w:t>
      </w:r>
      <w:r w:rsidRPr="004E0F02">
        <w:rPr>
          <w:rFonts w:eastAsia="Times New Roman" w:cs="Times New Roman"/>
          <w:szCs w:val="24"/>
        </w:rPr>
        <w:t>pilną kwestię uznano zapewnienie dostępu do tego rodzaju zasobów danych (pochodzących</w:t>
      </w:r>
      <w:r w:rsidR="00E45B1D" w:rsidRPr="004E0F02">
        <w:rPr>
          <w:rFonts w:eastAsia="Times New Roman" w:cs="Times New Roman"/>
          <w:szCs w:val="24"/>
        </w:rPr>
        <w:t xml:space="preserve"> z </w:t>
      </w:r>
      <w:r w:rsidRPr="004E0F02">
        <w:rPr>
          <w:rFonts w:eastAsia="Times New Roman" w:cs="Times New Roman"/>
          <w:szCs w:val="24"/>
        </w:rPr>
        <w:t>różnych źródeł, jak również sektorów i dyscyplin) oraz możliwości syntezy</w:t>
      </w:r>
      <w:r w:rsidR="00E45B1D" w:rsidRPr="004E0F02">
        <w:rPr>
          <w:rFonts w:eastAsia="Times New Roman" w:cs="Times New Roman"/>
          <w:szCs w:val="24"/>
        </w:rPr>
        <w:t xml:space="preserve"> i </w:t>
      </w:r>
      <w:r w:rsidRPr="004E0F02">
        <w:rPr>
          <w:rFonts w:eastAsia="Times New Roman" w:cs="Times New Roman"/>
          <w:szCs w:val="24"/>
        </w:rPr>
        <w:t>ponownego wykorzystywania takich danych. W związku z powyższym</w:t>
      </w:r>
      <w:r w:rsidR="00E45B1D" w:rsidRPr="004E0F02">
        <w:rPr>
          <w:rFonts w:eastAsia="Times New Roman" w:cs="Times New Roman"/>
          <w:szCs w:val="24"/>
        </w:rPr>
        <w:t xml:space="preserve"> w </w:t>
      </w:r>
      <w:r w:rsidRPr="004E0F02">
        <w:rPr>
          <w:rFonts w:eastAsia="Times New Roman" w:cs="Times New Roman"/>
          <w:szCs w:val="24"/>
        </w:rPr>
        <w:t>odniesieniu do danych badawczych zdefiniowanych</w:t>
      </w:r>
      <w:r w:rsidR="00E45B1D" w:rsidRPr="004E0F02">
        <w:rPr>
          <w:rFonts w:eastAsia="Times New Roman" w:cs="Times New Roman"/>
          <w:szCs w:val="24"/>
        </w:rPr>
        <w:t xml:space="preserve"> w art. 2 pkt 9 </w:t>
      </w:r>
      <w:r w:rsidRPr="004E0F02">
        <w:rPr>
          <w:rFonts w:eastAsia="Times New Roman" w:cs="Times New Roman"/>
          <w:szCs w:val="24"/>
        </w:rPr>
        <w:t>dyrektywy 2019/1024/UE jako dokumenty</w:t>
      </w:r>
      <w:r w:rsidR="00E45B1D" w:rsidRPr="004E0F02">
        <w:rPr>
          <w:rFonts w:eastAsia="Times New Roman" w:cs="Times New Roman"/>
          <w:szCs w:val="24"/>
        </w:rPr>
        <w:t xml:space="preserve"> w </w:t>
      </w:r>
      <w:r w:rsidRPr="004E0F02">
        <w:rPr>
          <w:rFonts w:eastAsia="Times New Roman" w:cs="Times New Roman"/>
          <w:szCs w:val="24"/>
        </w:rPr>
        <w:t>formie cyfrowej, inne niż publikacje naukowe, które są</w:t>
      </w:r>
      <w:r w:rsidR="0050342B" w:rsidRPr="004E0F02">
        <w:rPr>
          <w:rFonts w:eastAsia="Times New Roman" w:cs="Times New Roman"/>
          <w:szCs w:val="24"/>
        </w:rPr>
        <w:t> </w:t>
      </w:r>
      <w:r w:rsidRPr="004E0F02">
        <w:rPr>
          <w:rFonts w:eastAsia="Times New Roman" w:cs="Times New Roman"/>
          <w:szCs w:val="24"/>
        </w:rPr>
        <w:t>gromadzone lub produkowane</w:t>
      </w:r>
      <w:r w:rsidR="00E45B1D" w:rsidRPr="004E0F02">
        <w:rPr>
          <w:rFonts w:eastAsia="Times New Roman" w:cs="Times New Roman"/>
          <w:szCs w:val="24"/>
        </w:rPr>
        <w:t xml:space="preserve"> w </w:t>
      </w:r>
      <w:r w:rsidRPr="004E0F02">
        <w:rPr>
          <w:rFonts w:eastAsia="Times New Roman" w:cs="Times New Roman"/>
          <w:szCs w:val="24"/>
        </w:rPr>
        <w:t>ramach działalności badawczo</w:t>
      </w:r>
      <w:r w:rsidR="00E45B1D" w:rsidRPr="004E0F02">
        <w:rPr>
          <w:rFonts w:eastAsia="Times New Roman" w:cs="Times New Roman"/>
          <w:szCs w:val="24"/>
        </w:rPr>
        <w:softHyphen/>
      </w:r>
      <w:r w:rsidR="00E45B1D" w:rsidRPr="004E0F02">
        <w:rPr>
          <w:rFonts w:eastAsia="Times New Roman" w:cs="Times New Roman"/>
          <w:szCs w:val="24"/>
        </w:rPr>
        <w:noBreakHyphen/>
      </w:r>
      <w:r w:rsidRPr="004E0F02">
        <w:rPr>
          <w:rFonts w:eastAsia="Times New Roman" w:cs="Times New Roman"/>
          <w:szCs w:val="24"/>
        </w:rPr>
        <w:t>naukowej i</w:t>
      </w:r>
      <w:r w:rsidR="0050342B" w:rsidRPr="004E0F02">
        <w:rPr>
          <w:rFonts w:eastAsia="Times New Roman" w:cs="Times New Roman"/>
          <w:szCs w:val="24"/>
        </w:rPr>
        <w:t> </w:t>
      </w:r>
      <w:r w:rsidRPr="004E0F02">
        <w:rPr>
          <w:rFonts w:eastAsia="Times New Roman" w:cs="Times New Roman"/>
          <w:szCs w:val="24"/>
        </w:rPr>
        <w:t>są</w:t>
      </w:r>
      <w:r w:rsidR="0050342B" w:rsidRPr="004E0F02">
        <w:rPr>
          <w:rFonts w:eastAsia="Times New Roman" w:cs="Times New Roman"/>
          <w:szCs w:val="24"/>
        </w:rPr>
        <w:t> </w:t>
      </w:r>
      <w:r w:rsidRPr="004E0F02">
        <w:rPr>
          <w:rFonts w:eastAsia="Times New Roman" w:cs="Times New Roman"/>
          <w:szCs w:val="24"/>
        </w:rPr>
        <w:t>wykorzystywane jako dowody</w:t>
      </w:r>
      <w:r w:rsidR="00E45B1D" w:rsidRPr="004E0F02">
        <w:rPr>
          <w:rFonts w:eastAsia="Times New Roman" w:cs="Times New Roman"/>
          <w:szCs w:val="24"/>
        </w:rPr>
        <w:t xml:space="preserve"> w </w:t>
      </w:r>
      <w:r w:rsidRPr="004E0F02">
        <w:rPr>
          <w:rFonts w:eastAsia="Times New Roman" w:cs="Times New Roman"/>
          <w:szCs w:val="24"/>
        </w:rPr>
        <w:t>procesie badawczym bądź też są powszechnie akceptowane</w:t>
      </w:r>
      <w:r w:rsidR="00E45B1D" w:rsidRPr="004E0F02">
        <w:rPr>
          <w:rFonts w:eastAsia="Times New Roman" w:cs="Times New Roman"/>
          <w:szCs w:val="24"/>
        </w:rPr>
        <w:t xml:space="preserve"> w </w:t>
      </w:r>
      <w:r w:rsidRPr="004E0F02">
        <w:rPr>
          <w:rFonts w:eastAsia="Times New Roman" w:cs="Times New Roman"/>
          <w:szCs w:val="24"/>
        </w:rPr>
        <w:t>środowisku naukowym jako konieczne do weryfikacji poprawności ustaleń i</w:t>
      </w:r>
      <w:r w:rsidR="0050342B" w:rsidRPr="004E0F02">
        <w:rPr>
          <w:rFonts w:eastAsia="Times New Roman" w:cs="Times New Roman"/>
          <w:szCs w:val="24"/>
        </w:rPr>
        <w:t> </w:t>
      </w:r>
      <w:r w:rsidRPr="004E0F02">
        <w:rPr>
          <w:rFonts w:eastAsia="Times New Roman" w:cs="Times New Roman"/>
          <w:szCs w:val="24"/>
        </w:rPr>
        <w:t>wyników badań, zaproponowano objęcie określonej ich kategorii (danych badawczych spełniających określone warunki) zakresem regulacji ponownego wykorzystywania, na takich samych zasadach jak inne informacje sektora publicznego.</w:t>
      </w:r>
    </w:p>
    <w:p w14:paraId="0EB27971" w14:textId="4FF8DC38"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Działania polegające na wyodrębnieniu spośród informacji sektora publicznego danych dynamicznych oraz danych</w:t>
      </w:r>
      <w:r w:rsidR="00E45B1D" w:rsidRPr="004E0F02">
        <w:rPr>
          <w:rFonts w:eastAsia="Times New Roman" w:cs="Times New Roman"/>
          <w:szCs w:val="24"/>
        </w:rPr>
        <w:t xml:space="preserve"> o </w:t>
      </w:r>
      <w:r w:rsidRPr="004E0F02">
        <w:rPr>
          <w:rFonts w:eastAsia="Times New Roman" w:cs="Times New Roman"/>
          <w:szCs w:val="24"/>
        </w:rPr>
        <w:t>wysokiej wartości,</w:t>
      </w:r>
      <w:r w:rsidR="00E45B1D" w:rsidRPr="004E0F02">
        <w:rPr>
          <w:rFonts w:eastAsia="Times New Roman" w:cs="Times New Roman"/>
          <w:szCs w:val="24"/>
        </w:rPr>
        <w:t xml:space="preserve"> a </w:t>
      </w:r>
      <w:r w:rsidRPr="004E0F02">
        <w:rPr>
          <w:rFonts w:eastAsia="Times New Roman" w:cs="Times New Roman"/>
          <w:szCs w:val="24"/>
        </w:rPr>
        <w:t>także poszerzenie zakresu regulacyjnego ponownego wykorzystywania informacji sektora publicznego</w:t>
      </w:r>
      <w:r w:rsidR="00E45B1D" w:rsidRPr="004E0F02">
        <w:rPr>
          <w:rFonts w:eastAsia="Times New Roman" w:cs="Times New Roman"/>
          <w:szCs w:val="24"/>
        </w:rPr>
        <w:t xml:space="preserve"> o </w:t>
      </w:r>
      <w:r w:rsidRPr="004E0F02">
        <w:rPr>
          <w:rFonts w:eastAsia="Times New Roman" w:cs="Times New Roman"/>
          <w:szCs w:val="24"/>
        </w:rPr>
        <w:t>nowe kategorie danych, stanowią zasadniczą część zmian wprowadzonych</w:t>
      </w:r>
      <w:r w:rsidR="00E45B1D" w:rsidRPr="004E0F02">
        <w:rPr>
          <w:rFonts w:eastAsia="Times New Roman" w:cs="Times New Roman"/>
          <w:szCs w:val="24"/>
        </w:rPr>
        <w:t xml:space="preserve"> w </w:t>
      </w:r>
      <w:r w:rsidRPr="004E0F02">
        <w:rPr>
          <w:rFonts w:eastAsia="Times New Roman" w:cs="Times New Roman"/>
          <w:szCs w:val="24"/>
        </w:rPr>
        <w:t>nowej dyrektywie. Zwiększenie ilości danych sektora publicznego dostępnych do ponownego wykorzystania,</w:t>
      </w:r>
      <w:r w:rsidR="00E45B1D" w:rsidRPr="004E0F02">
        <w:rPr>
          <w:rFonts w:eastAsia="Times New Roman" w:cs="Times New Roman"/>
          <w:szCs w:val="24"/>
        </w:rPr>
        <w:t xml:space="preserve"> w </w:t>
      </w:r>
      <w:r w:rsidRPr="004E0F02">
        <w:rPr>
          <w:rFonts w:eastAsia="Times New Roman" w:cs="Times New Roman"/>
          <w:szCs w:val="24"/>
        </w:rPr>
        <w:t>tym zwiększenie podaży danych wartościowych, będzie miało szereg pozytywnych skutków dla innowacyjności gospodarki</w:t>
      </w:r>
      <w:r w:rsidR="00E45B1D" w:rsidRPr="004E0F02">
        <w:rPr>
          <w:rFonts w:eastAsia="Times New Roman" w:cs="Times New Roman"/>
          <w:szCs w:val="24"/>
        </w:rPr>
        <w:t xml:space="preserve"> i </w:t>
      </w:r>
      <w:r w:rsidRPr="004E0F02">
        <w:rPr>
          <w:rFonts w:eastAsia="Times New Roman" w:cs="Times New Roman"/>
          <w:szCs w:val="24"/>
        </w:rPr>
        <w:t xml:space="preserve">jakości życia społeczeństwa. </w:t>
      </w:r>
      <w:r w:rsidR="0050342B" w:rsidRPr="004E0F02">
        <w:rPr>
          <w:rFonts w:eastAsia="Times New Roman" w:cs="Times New Roman"/>
          <w:szCs w:val="24"/>
        </w:rPr>
        <w:t>Jak już podkreślono, s</w:t>
      </w:r>
      <w:r w:rsidRPr="004E0F02">
        <w:rPr>
          <w:rFonts w:eastAsia="Times New Roman" w:cs="Times New Roman"/>
          <w:szCs w:val="24"/>
        </w:rPr>
        <w:t>ektor publiczny posiada ogromne ilości cennych zasobów informacji</w:t>
      </w:r>
      <w:r w:rsidR="00E45B1D" w:rsidRPr="004E0F02">
        <w:rPr>
          <w:rFonts w:eastAsia="Times New Roman" w:cs="Times New Roman"/>
          <w:szCs w:val="24"/>
        </w:rPr>
        <w:t xml:space="preserve"> w </w:t>
      </w:r>
      <w:r w:rsidRPr="004E0F02">
        <w:rPr>
          <w:rFonts w:eastAsia="Times New Roman" w:cs="Times New Roman"/>
          <w:szCs w:val="24"/>
        </w:rPr>
        <w:t>wielu obszarach, jak np. dane</w:t>
      </w:r>
      <w:r w:rsidR="00E45B1D" w:rsidRPr="004E0F02">
        <w:rPr>
          <w:rFonts w:eastAsia="Times New Roman" w:cs="Times New Roman"/>
          <w:szCs w:val="24"/>
        </w:rPr>
        <w:t xml:space="preserve"> o </w:t>
      </w:r>
      <w:r w:rsidRPr="004E0F02">
        <w:rPr>
          <w:rFonts w:eastAsia="Times New Roman" w:cs="Times New Roman"/>
          <w:szCs w:val="24"/>
        </w:rPr>
        <w:t>mobilności, dane meteorologiczne, ekonomiczne czy finansowe, które mogą być następnie wykorzystywane do tworzenia nowych, innowacyjnych produktów</w:t>
      </w:r>
      <w:r w:rsidR="00E45B1D" w:rsidRPr="004E0F02">
        <w:rPr>
          <w:rFonts w:eastAsia="Times New Roman" w:cs="Times New Roman"/>
          <w:szCs w:val="24"/>
        </w:rPr>
        <w:t xml:space="preserve"> i </w:t>
      </w:r>
      <w:r w:rsidRPr="004E0F02">
        <w:rPr>
          <w:rFonts w:eastAsia="Times New Roman" w:cs="Times New Roman"/>
          <w:szCs w:val="24"/>
        </w:rPr>
        <w:t>usług</w:t>
      </w:r>
      <w:r w:rsidR="0050342B" w:rsidRPr="004E0F02">
        <w:rPr>
          <w:rFonts w:eastAsia="Times New Roman" w:cs="Times New Roman"/>
          <w:szCs w:val="24"/>
        </w:rPr>
        <w:t>.</w:t>
      </w:r>
      <w:r w:rsidRPr="004E0F02">
        <w:rPr>
          <w:rFonts w:eastAsia="Times New Roman" w:cs="Times New Roman"/>
          <w:szCs w:val="24"/>
        </w:rPr>
        <w:t xml:space="preserve"> </w:t>
      </w:r>
    </w:p>
    <w:p w14:paraId="6FE9A71C" w14:textId="4B7842AE" w:rsidR="00A42682" w:rsidRPr="004E0F02" w:rsidRDefault="00A42682" w:rsidP="00A42682">
      <w:pPr>
        <w:widowControl/>
        <w:spacing w:after="120" w:line="276" w:lineRule="auto"/>
        <w:jc w:val="both"/>
        <w:rPr>
          <w:rFonts w:eastAsia="Calibri" w:cs="Times New Roman"/>
          <w:szCs w:val="24"/>
          <w:lang w:eastAsia="en-US"/>
        </w:rPr>
      </w:pPr>
      <w:r w:rsidRPr="004E0F02">
        <w:rPr>
          <w:rFonts w:eastAsia="Times New Roman" w:cs="Times New Roman"/>
          <w:szCs w:val="24"/>
        </w:rPr>
        <w:t>Dostosowanie polskich przepisów do wymogów dyrektywy 2019/1024/UE</w:t>
      </w:r>
      <w:r w:rsidR="00E45B1D" w:rsidRPr="004E0F02">
        <w:rPr>
          <w:rFonts w:eastAsia="Times New Roman" w:cs="Times New Roman"/>
          <w:szCs w:val="24"/>
        </w:rPr>
        <w:t xml:space="preserve"> w </w:t>
      </w:r>
      <w:r w:rsidRPr="004E0F02">
        <w:rPr>
          <w:rFonts w:eastAsia="Times New Roman" w:cs="Times New Roman"/>
          <w:szCs w:val="24"/>
        </w:rPr>
        <w:t xml:space="preserve">obszarach wskazanych powyżej stanowi zasadniczy cel projektowanej ustawy. Jednocześnie jednak </w:t>
      </w:r>
      <w:r w:rsidRPr="004E0F02">
        <w:rPr>
          <w:rFonts w:eastAsia="Calibri" w:cs="Times New Roman"/>
          <w:szCs w:val="24"/>
          <w:lang w:eastAsia="en-US"/>
        </w:rPr>
        <w:t>planowane jest wprowadzenie</w:t>
      </w:r>
      <w:r w:rsidR="00E45B1D" w:rsidRPr="004E0F02">
        <w:rPr>
          <w:rFonts w:eastAsia="Calibri" w:cs="Times New Roman"/>
          <w:szCs w:val="24"/>
          <w:lang w:eastAsia="en-US"/>
        </w:rPr>
        <w:t xml:space="preserve"> w </w:t>
      </w:r>
      <w:r w:rsidRPr="004E0F02">
        <w:rPr>
          <w:rFonts w:eastAsia="Calibri" w:cs="Times New Roman"/>
          <w:szCs w:val="24"/>
          <w:lang w:eastAsia="en-US"/>
        </w:rPr>
        <w:t>ustawie nowych rozwiązań wykraczających poza minimum wyznaczone dyrektywą. Celem nowych regulacji, stanowiących inicjatywę krajową, jest w</w:t>
      </w:r>
      <w:r w:rsidR="0050342B" w:rsidRPr="004E0F02">
        <w:rPr>
          <w:rFonts w:eastAsia="Calibri" w:cs="Times New Roman"/>
          <w:szCs w:val="24"/>
          <w:lang w:eastAsia="en-US"/>
        </w:rPr>
        <w:t> </w:t>
      </w:r>
      <w:r w:rsidRPr="004E0F02">
        <w:rPr>
          <w:rFonts w:eastAsia="Calibri" w:cs="Times New Roman"/>
          <w:szCs w:val="24"/>
          <w:lang w:eastAsia="en-US"/>
        </w:rPr>
        <w:t>głównej mierze usprawnienie ponownego wykorzystywania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Polsce oraz przyspieszenia procesu otwierania danych publicznych.</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projekcie ustawy </w:t>
      </w:r>
      <w:r w:rsidRPr="004E0F02">
        <w:rPr>
          <w:rFonts w:eastAsia="Calibri" w:cs="Times New Roman"/>
          <w:szCs w:val="24"/>
          <w:lang w:eastAsia="en-US"/>
        </w:rPr>
        <w:lastRenderedPageBreak/>
        <w:t>zaproponowano kompleksowe podejście do problematyki otwierania danych</w:t>
      </w:r>
      <w:r w:rsidR="00E45B1D" w:rsidRPr="004E0F02">
        <w:rPr>
          <w:rFonts w:eastAsia="Calibri" w:cs="Times New Roman"/>
          <w:szCs w:val="24"/>
          <w:lang w:eastAsia="en-US"/>
        </w:rPr>
        <w:t xml:space="preserve"> w </w:t>
      </w:r>
      <w:r w:rsidRPr="004E0F02">
        <w:rPr>
          <w:rFonts w:eastAsia="Calibri" w:cs="Times New Roman"/>
          <w:szCs w:val="24"/>
          <w:lang w:eastAsia="en-US"/>
        </w:rPr>
        <w:t>myśl wyrażonej</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dyrektywie 2019/1024/UE zasady </w:t>
      </w:r>
      <w:r w:rsidR="00E45B1D" w:rsidRPr="004E0F02">
        <w:rPr>
          <w:rFonts w:eastAsia="Calibri" w:cs="Times New Roman"/>
          <w:szCs w:val="24"/>
          <w:lang w:eastAsia="en-US"/>
        </w:rPr>
        <w:t>„</w:t>
      </w:r>
      <w:r w:rsidRPr="004E0F02">
        <w:rPr>
          <w:rFonts w:eastAsia="Calibri" w:cs="Times New Roman"/>
          <w:szCs w:val="24"/>
          <w:lang w:eastAsia="en-US"/>
        </w:rPr>
        <w:t>as open as possible as closed as necessary</w:t>
      </w:r>
      <w:r w:rsidR="00E45B1D" w:rsidRPr="004E0F02">
        <w:rPr>
          <w:rFonts w:eastAsia="Calibri" w:cs="Times New Roman"/>
          <w:szCs w:val="24"/>
          <w:lang w:eastAsia="en-US"/>
        </w:rPr>
        <w:t>”</w:t>
      </w:r>
      <w:r w:rsidRPr="004E0F02">
        <w:rPr>
          <w:rFonts w:eastAsia="Calibri" w:cs="Times New Roman"/>
          <w:szCs w:val="24"/>
          <w:lang w:eastAsia="en-US"/>
        </w:rPr>
        <w:t xml:space="preserve">. Projekt ustawy przewiduje podstawę prawną do dobrowolnego udostępniania, za pośrednictwem prowadzonego przez </w:t>
      </w:r>
      <w:r w:rsidR="009D7107" w:rsidRPr="004E0F02">
        <w:rPr>
          <w:rFonts w:eastAsia="Calibri" w:cs="Times New Roman"/>
          <w:szCs w:val="24"/>
          <w:lang w:eastAsia="en-US"/>
        </w:rPr>
        <w:t xml:space="preserve">ministra właściwego do spraw informatyzacji </w:t>
      </w:r>
      <w:r w:rsidRPr="004E0F02">
        <w:rPr>
          <w:rFonts w:eastAsia="Calibri" w:cs="Times New Roman"/>
          <w:szCs w:val="24"/>
          <w:lang w:eastAsia="en-US"/>
        </w:rPr>
        <w:t>portalu dane.gov.pl (pełniącego funkcję centralnego repozytorium informacji publicznej), zasobów informacji będących w posiadaniu podmiotów sektora prywatnego (np. przedsiębiorców, organizacji pozarządowych). Dodatkowo całość regulacji dotyczącej portalu dane.gov.pl, która znajduje się obecnie</w:t>
      </w:r>
      <w:r w:rsidR="00E45B1D" w:rsidRPr="004E0F02">
        <w:rPr>
          <w:rFonts w:eastAsia="Calibri" w:cs="Times New Roman"/>
          <w:szCs w:val="24"/>
          <w:lang w:eastAsia="en-US"/>
        </w:rPr>
        <w:t xml:space="preserve"> w </w:t>
      </w:r>
      <w:r w:rsidRPr="004E0F02">
        <w:rPr>
          <w:rFonts w:eastAsia="Calibri" w:cs="Times New Roman"/>
          <w:szCs w:val="24"/>
          <w:lang w:eastAsia="en-US"/>
        </w:rPr>
        <w:t>ustawie o dostępie do informacji publicznej, zostanie zaktualizowana</w:t>
      </w:r>
      <w:r w:rsidR="00E45B1D" w:rsidRPr="004E0F02">
        <w:rPr>
          <w:rFonts w:eastAsia="Calibri" w:cs="Times New Roman"/>
          <w:szCs w:val="24"/>
          <w:lang w:eastAsia="en-US"/>
        </w:rPr>
        <w:t xml:space="preserve"> i </w:t>
      </w:r>
      <w:r w:rsidRPr="004E0F02">
        <w:rPr>
          <w:rFonts w:eastAsia="Calibri" w:cs="Times New Roman"/>
          <w:szCs w:val="24"/>
          <w:lang w:eastAsia="en-US"/>
        </w:rPr>
        <w:t>przeniesiona do nowej ustawy. Celem projektu jest również włączenie do regulacji ustawowej wybranych instytucji i rozwiązań z powodzeniem wdrożonych</w:t>
      </w:r>
      <w:r w:rsidR="00E45B1D" w:rsidRPr="004E0F02">
        <w:rPr>
          <w:rFonts w:eastAsia="Calibri" w:cs="Times New Roman"/>
          <w:szCs w:val="24"/>
          <w:lang w:eastAsia="en-US"/>
        </w:rPr>
        <w:t xml:space="preserve"> i </w:t>
      </w:r>
      <w:r w:rsidRPr="004E0F02">
        <w:rPr>
          <w:rFonts w:eastAsia="Calibri" w:cs="Times New Roman"/>
          <w:szCs w:val="24"/>
          <w:lang w:eastAsia="en-US"/>
        </w:rPr>
        <w:t>realizowanych przez Ministerstwo Cyfryzacji</w:t>
      </w:r>
      <w:r w:rsidR="00E45B1D" w:rsidRPr="004E0F02">
        <w:rPr>
          <w:rFonts w:eastAsia="Calibri" w:cs="Times New Roman"/>
          <w:szCs w:val="24"/>
          <w:lang w:eastAsia="en-US"/>
        </w:rPr>
        <w:t xml:space="preserve"> w </w:t>
      </w:r>
      <w:r w:rsidRPr="004E0F02">
        <w:rPr>
          <w:rFonts w:eastAsia="Calibri" w:cs="Times New Roman"/>
          <w:szCs w:val="24"/>
          <w:lang w:eastAsia="en-US"/>
        </w:rPr>
        <w:t>ramach podejmowanych działań pozaustawowych prowadzonych na rzecz otwierania danych. Dotyczy to w szczególności rozwiązań opartych na doświadczeniach zebranych</w:t>
      </w:r>
      <w:r w:rsidR="00E45B1D" w:rsidRPr="004E0F02">
        <w:rPr>
          <w:rFonts w:eastAsia="Calibri" w:cs="Times New Roman"/>
          <w:szCs w:val="24"/>
          <w:lang w:eastAsia="en-US"/>
        </w:rPr>
        <w:t xml:space="preserve"> w </w:t>
      </w:r>
      <w:r w:rsidRPr="004E0F02">
        <w:rPr>
          <w:rFonts w:eastAsia="Calibri" w:cs="Times New Roman"/>
          <w:szCs w:val="24"/>
          <w:lang w:eastAsia="en-US"/>
        </w:rPr>
        <w:t>okresie obowiązywania przyjętego</w:t>
      </w:r>
      <w:r w:rsidR="00E45B1D" w:rsidRPr="004E0F02">
        <w:rPr>
          <w:rFonts w:eastAsia="Calibri" w:cs="Times New Roman"/>
          <w:szCs w:val="24"/>
          <w:lang w:eastAsia="en-US"/>
        </w:rPr>
        <w:t xml:space="preserve"> w </w:t>
      </w:r>
      <w:r w:rsidRPr="004E0F02">
        <w:rPr>
          <w:rFonts w:eastAsia="Calibri" w:cs="Times New Roman"/>
          <w:szCs w:val="24"/>
          <w:lang w:eastAsia="en-US"/>
        </w:rPr>
        <w:t>201</w:t>
      </w:r>
      <w:r w:rsidR="00E45B1D" w:rsidRPr="004E0F02">
        <w:rPr>
          <w:rFonts w:eastAsia="Calibri" w:cs="Times New Roman"/>
          <w:szCs w:val="24"/>
          <w:lang w:eastAsia="en-US"/>
        </w:rPr>
        <w:t>6 </w:t>
      </w:r>
      <w:r w:rsidRPr="004E0F02">
        <w:rPr>
          <w:rFonts w:eastAsia="Calibri" w:cs="Times New Roman"/>
          <w:szCs w:val="24"/>
          <w:lang w:eastAsia="en-US"/>
        </w:rPr>
        <w:t>r. Programu Otwierania Danych Publicznych</w:t>
      </w:r>
      <w:r w:rsidRPr="004E0F02">
        <w:rPr>
          <w:rFonts w:eastAsia="Calibri" w:cs="Times New Roman"/>
          <w:szCs w:val="24"/>
          <w:vertAlign w:val="superscript"/>
          <w:lang w:eastAsia="en-US"/>
        </w:rPr>
        <w:footnoteReference w:id="18"/>
      </w:r>
      <w:r w:rsidRPr="004E0F02">
        <w:rPr>
          <w:rFonts w:eastAsia="Times New Roman" w:cs="Times New Roman"/>
          <w:szCs w:val="24"/>
          <w:vertAlign w:val="superscript"/>
        </w:rPr>
        <w:t>)</w:t>
      </w:r>
      <w:r w:rsidRPr="004E0F02">
        <w:rPr>
          <w:rFonts w:eastAsia="Calibri" w:cs="Times New Roman"/>
          <w:szCs w:val="24"/>
          <w:lang w:eastAsia="en-US"/>
        </w:rPr>
        <w:t>,</w:t>
      </w:r>
      <w:r w:rsidR="00E45B1D" w:rsidRPr="004E0F02">
        <w:rPr>
          <w:rFonts w:eastAsia="Calibri" w:cs="Times New Roman"/>
          <w:szCs w:val="24"/>
          <w:lang w:eastAsia="en-US"/>
        </w:rPr>
        <w:t xml:space="preserve"> w </w:t>
      </w:r>
      <w:r w:rsidRPr="004E0F02">
        <w:rPr>
          <w:rFonts w:eastAsia="Calibri" w:cs="Times New Roman"/>
          <w:szCs w:val="24"/>
          <w:lang w:eastAsia="en-US"/>
        </w:rPr>
        <w:t>tym funkcjonowania sieci pełnomocników ds. otwartości danych, czy też opracowanych</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ciągu ostatnich lat standardów </w:t>
      </w:r>
      <w:r w:rsidR="009D7107" w:rsidRPr="004E0F02">
        <w:rPr>
          <w:rFonts w:eastAsia="Calibri" w:cs="Times New Roman"/>
          <w:szCs w:val="24"/>
          <w:lang w:eastAsia="en-US"/>
        </w:rPr>
        <w:t xml:space="preserve">otwartości </w:t>
      </w:r>
      <w:r w:rsidRPr="004E0F02">
        <w:rPr>
          <w:rFonts w:eastAsia="Calibri" w:cs="Times New Roman"/>
          <w:szCs w:val="24"/>
          <w:lang w:eastAsia="en-US"/>
        </w:rPr>
        <w:t>danych.</w:t>
      </w:r>
    </w:p>
    <w:p w14:paraId="71BCCCD0" w14:textId="77777777" w:rsidR="00A42682" w:rsidRPr="004E0F02" w:rsidRDefault="00A42682" w:rsidP="00A42682">
      <w:pPr>
        <w:widowControl/>
        <w:spacing w:after="120" w:line="276" w:lineRule="auto"/>
        <w:jc w:val="both"/>
        <w:rPr>
          <w:rFonts w:eastAsia="Times New Roman" w:cs="Times New Roman"/>
          <w:b/>
          <w:szCs w:val="24"/>
        </w:rPr>
      </w:pPr>
      <w:r w:rsidRPr="004E0F02">
        <w:rPr>
          <w:rFonts w:eastAsia="Times New Roman" w:cs="Times New Roman"/>
          <w:b/>
          <w:szCs w:val="24"/>
        </w:rPr>
        <w:t>II. Aktualny stan prawny.</w:t>
      </w:r>
    </w:p>
    <w:p w14:paraId="730A3A46" w14:textId="3C04DA50"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Ramy prawne ponownego wykorzystywania informacji sektora publicznego</w:t>
      </w:r>
      <w:r w:rsidR="00E45B1D" w:rsidRPr="004E0F02">
        <w:rPr>
          <w:rFonts w:eastAsia="Times New Roman" w:cs="Times New Roman"/>
          <w:szCs w:val="24"/>
        </w:rPr>
        <w:t xml:space="preserve"> w </w:t>
      </w:r>
      <w:r w:rsidRPr="004E0F02">
        <w:rPr>
          <w:rFonts w:eastAsia="Times New Roman" w:cs="Times New Roman"/>
          <w:szCs w:val="24"/>
        </w:rPr>
        <w:t>Polsce wyznacza obecnie ustawa</w:t>
      </w:r>
      <w:r w:rsidR="00E45B1D" w:rsidRPr="004E0F02">
        <w:rPr>
          <w:rFonts w:eastAsia="Times New Roman" w:cs="Times New Roman"/>
          <w:szCs w:val="24"/>
        </w:rPr>
        <w:t xml:space="preserve"> z </w:t>
      </w:r>
      <w:r w:rsidRPr="004E0F02">
        <w:rPr>
          <w:rFonts w:eastAsia="Times New Roman" w:cs="Times New Roman"/>
          <w:szCs w:val="24"/>
        </w:rPr>
        <w:t>dnia 2</w:t>
      </w:r>
      <w:r w:rsidR="00E45B1D" w:rsidRPr="004E0F02">
        <w:rPr>
          <w:rFonts w:eastAsia="Times New Roman" w:cs="Times New Roman"/>
          <w:szCs w:val="24"/>
        </w:rPr>
        <w:t>5 </w:t>
      </w:r>
      <w:r w:rsidRPr="004E0F02">
        <w:rPr>
          <w:rFonts w:eastAsia="Times New Roman" w:cs="Times New Roman"/>
          <w:szCs w:val="24"/>
        </w:rPr>
        <w:t>lutego 201</w:t>
      </w:r>
      <w:r w:rsidR="00E45B1D" w:rsidRPr="004E0F02">
        <w:rPr>
          <w:rFonts w:eastAsia="Times New Roman" w:cs="Times New Roman"/>
          <w:szCs w:val="24"/>
        </w:rPr>
        <w:t>6 </w:t>
      </w:r>
      <w:r w:rsidRPr="004E0F02">
        <w:rPr>
          <w:rFonts w:eastAsia="Times New Roman" w:cs="Times New Roman"/>
          <w:szCs w:val="24"/>
        </w:rPr>
        <w:t>r.</w:t>
      </w:r>
      <w:r w:rsidR="00E45B1D" w:rsidRPr="004E0F02">
        <w:rPr>
          <w:rFonts w:eastAsia="Times New Roman" w:cs="Times New Roman"/>
          <w:szCs w:val="24"/>
        </w:rPr>
        <w:t xml:space="preserve"> o </w:t>
      </w:r>
      <w:r w:rsidRPr="004E0F02">
        <w:rPr>
          <w:rFonts w:eastAsia="Times New Roman" w:cs="Times New Roman"/>
          <w:szCs w:val="24"/>
        </w:rPr>
        <w:t>ponownym wykorzystywaniu informacji sektora publicznego,  dokonująca</w:t>
      </w:r>
      <w:r w:rsidR="00E45B1D" w:rsidRPr="004E0F02">
        <w:rPr>
          <w:rFonts w:eastAsia="Times New Roman" w:cs="Times New Roman"/>
          <w:szCs w:val="24"/>
        </w:rPr>
        <w:t xml:space="preserve"> w </w:t>
      </w:r>
      <w:r w:rsidRPr="004E0F02">
        <w:rPr>
          <w:rFonts w:eastAsia="Times New Roman" w:cs="Times New Roman"/>
          <w:szCs w:val="24"/>
        </w:rPr>
        <w:t xml:space="preserve">zakresie swojej regulacji </w:t>
      </w:r>
      <w:r w:rsidRPr="004E0F02">
        <w:rPr>
          <w:rFonts w:eastAsia="Calibri" w:cs="Times New Roman"/>
          <w:szCs w:val="24"/>
          <w:lang w:eastAsia="en-US"/>
        </w:rPr>
        <w:t>wdrożenia postanowień dyrektywy 2003/98/WE zmienionej dyrektywą 2013/37/UE.</w:t>
      </w:r>
    </w:p>
    <w:p w14:paraId="6A6A933A" w14:textId="21381006" w:rsidR="00A42682" w:rsidRPr="004E0F02" w:rsidRDefault="00A42682" w:rsidP="00A42682">
      <w:pPr>
        <w:widowControl/>
        <w:autoSpaceDE/>
        <w:autoSpaceDN/>
        <w:adjustRightInd/>
        <w:spacing w:after="120" w:line="276" w:lineRule="auto"/>
        <w:jc w:val="both"/>
        <w:rPr>
          <w:rFonts w:eastAsia="Calibri" w:cs="Times New Roman"/>
          <w:szCs w:val="24"/>
          <w:lang w:eastAsia="en-US"/>
        </w:rPr>
      </w:pPr>
      <w:r w:rsidRPr="004E0F02">
        <w:rPr>
          <w:rFonts w:eastAsia="Calibri" w:cs="Times New Roman"/>
          <w:szCs w:val="24"/>
          <w:lang w:eastAsia="en-US"/>
        </w:rPr>
        <w:t>Mając na uwadze rozwiązania zastosowane</w:t>
      </w:r>
      <w:r w:rsidR="00E45B1D" w:rsidRPr="004E0F02">
        <w:rPr>
          <w:rFonts w:eastAsia="Calibri" w:cs="Times New Roman"/>
          <w:szCs w:val="24"/>
          <w:lang w:eastAsia="en-US"/>
        </w:rPr>
        <w:t xml:space="preserve"> w </w:t>
      </w:r>
      <w:r w:rsidRPr="004E0F02">
        <w:rPr>
          <w:rFonts w:eastAsia="Calibri" w:cs="Times New Roman"/>
          <w:szCs w:val="24"/>
          <w:lang w:eastAsia="en-US"/>
        </w:rPr>
        <w:t>dyrektywie 2003/98/WE,</w:t>
      </w:r>
      <w:r w:rsidR="00E45B1D" w:rsidRPr="004E0F02">
        <w:rPr>
          <w:rFonts w:eastAsia="Calibri" w:cs="Times New Roman"/>
          <w:szCs w:val="24"/>
          <w:lang w:eastAsia="en-US"/>
        </w:rPr>
        <w:t xml:space="preserve"> w </w:t>
      </w:r>
      <w:r w:rsidRPr="004E0F02">
        <w:rPr>
          <w:rFonts w:eastAsia="Calibri" w:cs="Times New Roman"/>
          <w:szCs w:val="24"/>
          <w:lang w:eastAsia="en-US"/>
        </w:rPr>
        <w:t>ustawie</w:t>
      </w:r>
      <w:r w:rsidR="00E45B1D" w:rsidRPr="004E0F02">
        <w:rPr>
          <w:rFonts w:eastAsia="Calibri" w:cs="Times New Roman"/>
          <w:szCs w:val="24"/>
          <w:lang w:eastAsia="en-US"/>
        </w:rPr>
        <w:t xml:space="preserve"> z </w:t>
      </w:r>
      <w:r w:rsidRPr="004E0F02">
        <w:rPr>
          <w:rFonts w:eastAsia="Calibri" w:cs="Times New Roman"/>
          <w:szCs w:val="24"/>
          <w:lang w:eastAsia="en-US"/>
        </w:rPr>
        <w:t>201</w:t>
      </w:r>
      <w:r w:rsidR="00E45B1D" w:rsidRPr="004E0F02">
        <w:rPr>
          <w:rFonts w:eastAsia="Calibri" w:cs="Times New Roman"/>
          <w:szCs w:val="24"/>
          <w:lang w:eastAsia="en-US"/>
        </w:rPr>
        <w:t>6 </w:t>
      </w:r>
      <w:r w:rsidRPr="004E0F02">
        <w:rPr>
          <w:rFonts w:eastAsia="Calibri" w:cs="Times New Roman"/>
          <w:szCs w:val="24"/>
          <w:lang w:eastAsia="en-US"/>
        </w:rPr>
        <w:t>r. przyjęto bardzo szerokie pojęcie informacji sektora publicznego, przez którą rozumie się każdą utrwaloną treść będącą</w:t>
      </w:r>
      <w:r w:rsidR="00E45B1D" w:rsidRPr="004E0F02">
        <w:rPr>
          <w:rFonts w:eastAsia="Calibri" w:cs="Times New Roman"/>
          <w:szCs w:val="24"/>
          <w:lang w:eastAsia="en-US"/>
        </w:rPr>
        <w:t xml:space="preserve"> w </w:t>
      </w:r>
      <w:r w:rsidRPr="004E0F02">
        <w:rPr>
          <w:rFonts w:eastAsia="Calibri" w:cs="Times New Roman"/>
          <w:szCs w:val="24"/>
          <w:lang w:eastAsia="en-US"/>
        </w:rPr>
        <w:t>posiadaniu podmiotów wskazanych</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katalogu ustawowym (podmiotów zobowiązanych do udostępniania lub przekazywania </w:t>
      </w:r>
      <w:r w:rsidR="00D71A06" w:rsidRPr="004E0F02">
        <w:rPr>
          <w:rFonts w:eastAsia="Calibri" w:cs="Times New Roman"/>
          <w:szCs w:val="24"/>
          <w:lang w:eastAsia="en-US"/>
        </w:rPr>
        <w:t>informacji sektora publicznego</w:t>
      </w:r>
      <w:r w:rsidRPr="004E0F02">
        <w:rPr>
          <w:rFonts w:eastAsia="Calibri" w:cs="Times New Roman"/>
          <w:szCs w:val="24"/>
          <w:lang w:eastAsia="en-US"/>
        </w:rPr>
        <w:t>)</w:t>
      </w:r>
      <w:r w:rsidRPr="004E0F02">
        <w:rPr>
          <w:rFonts w:eastAsia="Calibri" w:cs="Times New Roman"/>
          <w:szCs w:val="24"/>
          <w:vertAlign w:val="superscript"/>
          <w:lang w:eastAsia="en-US"/>
        </w:rPr>
        <w:footnoteReference w:id="19"/>
      </w:r>
      <w:r w:rsidRPr="004E0F02">
        <w:rPr>
          <w:rFonts w:eastAsia="Times New Roman" w:cs="Times New Roman"/>
          <w:szCs w:val="24"/>
          <w:vertAlign w:val="superscript"/>
        </w:rPr>
        <w:t>)</w:t>
      </w:r>
      <w:r w:rsidR="0050342B" w:rsidRPr="004E0F02">
        <w:rPr>
          <w:rFonts w:eastAsia="Times New Roman" w:cs="Times New Roman"/>
          <w:szCs w:val="24"/>
        </w:rPr>
        <w:t>.</w:t>
      </w:r>
      <w:r w:rsidRPr="004E0F02">
        <w:rPr>
          <w:rFonts w:eastAsia="Calibri" w:cs="Times New Roman"/>
          <w:szCs w:val="24"/>
          <w:lang w:eastAsia="en-US"/>
        </w:rPr>
        <w:t xml:space="preserve"> Przez ponowne wykorzystywanie należy rozumieć wykorzystywanie przez osoby fizyczne, osoby prawne i</w:t>
      </w:r>
      <w:r w:rsidR="0050342B" w:rsidRPr="004E0F02">
        <w:rPr>
          <w:rFonts w:eastAsia="Calibri" w:cs="Times New Roman"/>
          <w:szCs w:val="24"/>
          <w:lang w:eastAsia="en-US"/>
        </w:rPr>
        <w:t> </w:t>
      </w:r>
      <w:r w:rsidRPr="004E0F02">
        <w:rPr>
          <w:rFonts w:eastAsia="Calibri" w:cs="Times New Roman"/>
          <w:szCs w:val="24"/>
          <w:lang w:eastAsia="en-US"/>
        </w:rPr>
        <w:t xml:space="preserve">jednostki organizacyjne nieposiadające osobowości prawnej, zwane dalej </w:t>
      </w:r>
      <w:r w:rsidR="00E45B1D" w:rsidRPr="004E0F02">
        <w:rPr>
          <w:rFonts w:eastAsia="Calibri" w:cs="Times New Roman"/>
          <w:szCs w:val="24"/>
          <w:lang w:eastAsia="en-US"/>
        </w:rPr>
        <w:t>„</w:t>
      </w:r>
      <w:r w:rsidRPr="004E0F02">
        <w:rPr>
          <w:rFonts w:eastAsia="Calibri" w:cs="Times New Roman"/>
          <w:szCs w:val="24"/>
          <w:lang w:eastAsia="en-US"/>
        </w:rPr>
        <w:t>użytkownikami</w:t>
      </w:r>
      <w:r w:rsidR="00E45B1D" w:rsidRPr="004E0F02">
        <w:rPr>
          <w:rFonts w:eastAsia="Calibri" w:cs="Times New Roman"/>
          <w:szCs w:val="24"/>
          <w:lang w:eastAsia="en-US"/>
        </w:rPr>
        <w:t>”</w:t>
      </w:r>
      <w:r w:rsidRPr="004E0F02">
        <w:rPr>
          <w:rFonts w:eastAsia="Calibri" w:cs="Times New Roman"/>
          <w:szCs w:val="24"/>
          <w:lang w:eastAsia="en-US"/>
        </w:rPr>
        <w:t>, informacji sektora publicznego, w celach komercyjnych lub niekomercyjnych innych niż pierwotny publiczny cel, dla którego informacja została wytworzona</w:t>
      </w:r>
      <w:r w:rsidRPr="004E0F02">
        <w:rPr>
          <w:rFonts w:eastAsia="Calibri" w:cs="Times New Roman"/>
          <w:szCs w:val="24"/>
          <w:vertAlign w:val="superscript"/>
          <w:lang w:eastAsia="en-US"/>
        </w:rPr>
        <w:footnoteReference w:id="20"/>
      </w:r>
      <w:r w:rsidRPr="004E0F02">
        <w:rPr>
          <w:rFonts w:eastAsia="Times New Roman" w:cs="Times New Roman"/>
          <w:szCs w:val="24"/>
          <w:vertAlign w:val="superscript"/>
        </w:rPr>
        <w:t>)</w:t>
      </w:r>
      <w:r w:rsidRPr="004E0F02">
        <w:rPr>
          <w:rFonts w:eastAsia="Calibri" w:cs="Times New Roman"/>
          <w:szCs w:val="24"/>
          <w:lang w:eastAsia="en-US"/>
        </w:rPr>
        <w:t>.</w:t>
      </w:r>
    </w:p>
    <w:p w14:paraId="159F0565" w14:textId="26F0A360"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 ustawie uregulowano zasady, tryb oraz warunki udostępniania</w:t>
      </w:r>
      <w:r w:rsidR="00E45B1D" w:rsidRPr="004E0F02">
        <w:rPr>
          <w:rFonts w:eastAsia="Calibri" w:cs="Times New Roman"/>
          <w:szCs w:val="24"/>
          <w:lang w:eastAsia="en-US"/>
        </w:rPr>
        <w:t xml:space="preserve"> i </w:t>
      </w:r>
      <w:r w:rsidRPr="004E0F02">
        <w:rPr>
          <w:rFonts w:eastAsia="Calibri" w:cs="Times New Roman"/>
          <w:szCs w:val="24"/>
          <w:lang w:eastAsia="en-US"/>
        </w:rPr>
        <w:t>ponownego wykorzystywania informacji sektora publicznego, zasady ustalania opłat za ponowne wykorzystywanie oraz wprowadzono przepisy regulujące stosunek ustawy do innych aktów prawnych,</w:t>
      </w:r>
      <w:r w:rsidR="00E45B1D" w:rsidRPr="004E0F02">
        <w:rPr>
          <w:rFonts w:eastAsia="Calibri" w:cs="Times New Roman"/>
          <w:szCs w:val="24"/>
          <w:lang w:eastAsia="en-US"/>
        </w:rPr>
        <w:t xml:space="preserve"> w </w:t>
      </w:r>
      <w:r w:rsidRPr="004E0F02">
        <w:rPr>
          <w:rFonts w:eastAsia="Calibri" w:cs="Times New Roman"/>
          <w:szCs w:val="24"/>
          <w:lang w:eastAsia="en-US"/>
        </w:rPr>
        <w:t>tym w szczególności przepisów ustawy</w:t>
      </w:r>
      <w:r w:rsidR="00E45B1D" w:rsidRPr="004E0F02">
        <w:rPr>
          <w:rFonts w:eastAsia="Calibri" w:cs="Times New Roman"/>
          <w:szCs w:val="24"/>
          <w:lang w:eastAsia="en-US"/>
        </w:rPr>
        <w:t xml:space="preserve"> o </w:t>
      </w:r>
      <w:r w:rsidRPr="004E0F02">
        <w:rPr>
          <w:rFonts w:eastAsia="Calibri" w:cs="Times New Roman"/>
          <w:szCs w:val="24"/>
          <w:lang w:eastAsia="en-US"/>
        </w:rPr>
        <w:t>dostępie do informacji publicznej oraz przepisów</w:t>
      </w:r>
      <w:r w:rsidR="00E45B1D" w:rsidRPr="004E0F02">
        <w:rPr>
          <w:rFonts w:eastAsia="Calibri" w:cs="Times New Roman"/>
          <w:szCs w:val="24"/>
          <w:lang w:eastAsia="en-US"/>
        </w:rPr>
        <w:t xml:space="preserve"> o </w:t>
      </w:r>
      <w:r w:rsidRPr="004E0F02">
        <w:rPr>
          <w:rFonts w:eastAsia="Calibri" w:cs="Times New Roman"/>
          <w:szCs w:val="24"/>
          <w:lang w:eastAsia="en-US"/>
        </w:rPr>
        <w:t xml:space="preserve">ochronie danych osobowych. Wprowadzone zostały dwa podstawowe tryby udostępniania danych do ponownego wykorzystywania: tryb </w:t>
      </w:r>
      <w:r w:rsidR="00D71A06" w:rsidRPr="004E0F02">
        <w:rPr>
          <w:rFonts w:eastAsia="Calibri" w:cs="Times New Roman"/>
          <w:szCs w:val="24"/>
          <w:lang w:eastAsia="en-US"/>
        </w:rPr>
        <w:t xml:space="preserve">pozawnioskowy </w:t>
      </w:r>
      <w:r w:rsidRPr="004E0F02">
        <w:rPr>
          <w:rFonts w:eastAsia="Calibri" w:cs="Times New Roman"/>
          <w:szCs w:val="24"/>
          <w:lang w:eastAsia="en-US"/>
        </w:rPr>
        <w:t>(dane udostępniane</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systemie teleinformatycznym) oraz wnioskowy (dane przekazane na wniosek </w:t>
      </w:r>
      <w:r w:rsidRPr="004E0F02">
        <w:rPr>
          <w:rFonts w:eastAsia="Calibri" w:cs="Times New Roman"/>
          <w:szCs w:val="24"/>
          <w:lang w:eastAsia="en-US"/>
        </w:rPr>
        <w:lastRenderedPageBreak/>
        <w:t>złożony przez zainteresowanego). Jednocześnie przekazywanie informacji sektora publicznego na wniosek zostało</w:t>
      </w:r>
      <w:r w:rsidR="00E45B1D" w:rsidRPr="004E0F02">
        <w:rPr>
          <w:rFonts w:eastAsia="Calibri" w:cs="Times New Roman"/>
          <w:szCs w:val="24"/>
          <w:lang w:eastAsia="en-US"/>
        </w:rPr>
        <w:t xml:space="preserve"> w </w:t>
      </w:r>
      <w:r w:rsidRPr="004E0F02">
        <w:rPr>
          <w:rFonts w:eastAsia="Calibri" w:cs="Times New Roman"/>
          <w:szCs w:val="24"/>
          <w:lang w:eastAsia="en-US"/>
        </w:rPr>
        <w:t>możliwe największym stopniu odformalizowane – danych można żądać</w:t>
      </w:r>
      <w:r w:rsidR="00E45B1D" w:rsidRPr="004E0F02">
        <w:rPr>
          <w:rFonts w:eastAsia="Calibri" w:cs="Times New Roman"/>
          <w:szCs w:val="24"/>
          <w:lang w:eastAsia="en-US"/>
        </w:rPr>
        <w:t xml:space="preserve"> w </w:t>
      </w:r>
      <w:r w:rsidRPr="004E0F02">
        <w:rPr>
          <w:rFonts w:eastAsia="Calibri" w:cs="Times New Roman"/>
          <w:szCs w:val="24"/>
          <w:lang w:eastAsia="en-US"/>
        </w:rPr>
        <w:t>dowolny sposób, a informacje (co do zasady) powinny zostać przekazane</w:t>
      </w:r>
      <w:r w:rsidR="00E45B1D" w:rsidRPr="004E0F02">
        <w:rPr>
          <w:rFonts w:eastAsia="Calibri" w:cs="Times New Roman"/>
          <w:szCs w:val="24"/>
          <w:lang w:eastAsia="en-US"/>
        </w:rPr>
        <w:t xml:space="preserve"> w </w:t>
      </w:r>
      <w:r w:rsidRPr="004E0F02">
        <w:rPr>
          <w:rFonts w:eastAsia="Calibri" w:cs="Times New Roman"/>
          <w:szCs w:val="24"/>
          <w:lang w:eastAsia="en-US"/>
        </w:rPr>
        <w:t>ciągu 1</w:t>
      </w:r>
      <w:r w:rsidR="00E45B1D" w:rsidRPr="004E0F02">
        <w:rPr>
          <w:rFonts w:eastAsia="Calibri" w:cs="Times New Roman"/>
          <w:szCs w:val="24"/>
          <w:lang w:eastAsia="en-US"/>
        </w:rPr>
        <w:t>4 </w:t>
      </w:r>
      <w:r w:rsidRPr="004E0F02">
        <w:rPr>
          <w:rFonts w:eastAsia="Calibri" w:cs="Times New Roman"/>
          <w:szCs w:val="24"/>
          <w:lang w:eastAsia="en-US"/>
        </w:rPr>
        <w:t>dni. W</w:t>
      </w:r>
      <w:r w:rsidR="0050342B" w:rsidRPr="004E0F02">
        <w:rPr>
          <w:rFonts w:eastAsia="Calibri" w:cs="Times New Roman"/>
          <w:szCs w:val="24"/>
          <w:lang w:eastAsia="en-US"/>
        </w:rPr>
        <w:t> </w:t>
      </w:r>
      <w:r w:rsidRPr="004E0F02">
        <w:rPr>
          <w:rFonts w:eastAsia="Calibri" w:cs="Times New Roman"/>
          <w:szCs w:val="24"/>
          <w:lang w:eastAsia="en-US"/>
        </w:rPr>
        <w:t>ramach rozwiązań ułatwiających ponowne wykorzystywanie</w:t>
      </w:r>
      <w:r w:rsidR="0050342B" w:rsidRPr="004E0F02">
        <w:rPr>
          <w:rFonts w:eastAsia="Calibri" w:cs="Times New Roman"/>
          <w:szCs w:val="24"/>
          <w:lang w:eastAsia="en-US"/>
        </w:rPr>
        <w:t>,</w:t>
      </w:r>
      <w:r w:rsidRPr="004E0F02">
        <w:rPr>
          <w:rFonts w:eastAsia="Calibri" w:cs="Times New Roman"/>
          <w:szCs w:val="24"/>
          <w:lang w:eastAsia="en-US"/>
        </w:rPr>
        <w:t xml:space="preserve"> oprócz wprowadzenia dwóch podstawowych trybów udostępniania danych (</w:t>
      </w:r>
      <w:r w:rsidR="00D71A06" w:rsidRPr="004E0F02">
        <w:rPr>
          <w:rFonts w:eastAsia="Calibri" w:cs="Times New Roman"/>
          <w:szCs w:val="24"/>
          <w:lang w:eastAsia="en-US"/>
        </w:rPr>
        <w:t xml:space="preserve">pozawnioskowego </w:t>
      </w:r>
      <w:r w:rsidR="00E45B1D" w:rsidRPr="004E0F02">
        <w:rPr>
          <w:rFonts w:eastAsia="Calibri" w:cs="Times New Roman"/>
          <w:szCs w:val="24"/>
          <w:lang w:eastAsia="en-US"/>
        </w:rPr>
        <w:t>i </w:t>
      </w:r>
      <w:r w:rsidRPr="004E0F02">
        <w:rPr>
          <w:rFonts w:eastAsia="Calibri" w:cs="Times New Roman"/>
          <w:szCs w:val="24"/>
          <w:lang w:eastAsia="en-US"/>
        </w:rPr>
        <w:t>wnioskowego), umożliwiono również ponowne wykorzystywanie informacji sektora publicznego gromadzonych i</w:t>
      </w:r>
      <w:r w:rsidR="0050342B" w:rsidRPr="004E0F02">
        <w:rPr>
          <w:rFonts w:eastAsia="Calibri" w:cs="Times New Roman"/>
          <w:szCs w:val="24"/>
          <w:lang w:eastAsia="en-US"/>
        </w:rPr>
        <w:t> </w:t>
      </w:r>
      <w:r w:rsidRPr="004E0F02">
        <w:rPr>
          <w:rFonts w:eastAsia="Calibri" w:cs="Times New Roman"/>
          <w:szCs w:val="24"/>
          <w:lang w:eastAsia="en-US"/>
        </w:rPr>
        <w:t>przechowywanych</w:t>
      </w:r>
      <w:r w:rsidR="00E45B1D" w:rsidRPr="004E0F02">
        <w:rPr>
          <w:rFonts w:eastAsia="Calibri" w:cs="Times New Roman"/>
          <w:szCs w:val="24"/>
          <w:lang w:eastAsia="en-US"/>
        </w:rPr>
        <w:t xml:space="preserve"> w </w:t>
      </w:r>
      <w:r w:rsidRPr="004E0F02">
        <w:rPr>
          <w:rFonts w:eastAsia="Calibri" w:cs="Times New Roman"/>
          <w:szCs w:val="24"/>
          <w:lang w:eastAsia="en-US"/>
        </w:rPr>
        <w:t>systemie teleinformatycznym podmiotu zobowiązanego przez okres nie dłuższy niż 1</w:t>
      </w:r>
      <w:r w:rsidR="00E45B1D" w:rsidRPr="004E0F02">
        <w:rPr>
          <w:rFonts w:eastAsia="Calibri" w:cs="Times New Roman"/>
          <w:szCs w:val="24"/>
          <w:lang w:eastAsia="en-US"/>
        </w:rPr>
        <w:t>2 </w:t>
      </w:r>
      <w:r w:rsidRPr="004E0F02">
        <w:rPr>
          <w:rFonts w:eastAsia="Calibri" w:cs="Times New Roman"/>
          <w:szCs w:val="24"/>
          <w:lang w:eastAsia="en-US"/>
        </w:rPr>
        <w:t>miesięcy</w:t>
      </w:r>
      <w:r w:rsidR="00E45B1D" w:rsidRPr="004E0F02">
        <w:rPr>
          <w:rFonts w:eastAsia="Calibri" w:cs="Times New Roman"/>
          <w:szCs w:val="24"/>
          <w:lang w:eastAsia="en-US"/>
        </w:rPr>
        <w:t xml:space="preserve"> w </w:t>
      </w:r>
      <w:r w:rsidRPr="004E0F02">
        <w:rPr>
          <w:rFonts w:eastAsia="Calibri" w:cs="Times New Roman"/>
          <w:szCs w:val="24"/>
          <w:lang w:eastAsia="en-US"/>
        </w:rPr>
        <w:t>sposób stały</w:t>
      </w:r>
      <w:r w:rsidR="00E45B1D" w:rsidRPr="004E0F02">
        <w:rPr>
          <w:rFonts w:eastAsia="Calibri" w:cs="Times New Roman"/>
          <w:szCs w:val="24"/>
          <w:lang w:eastAsia="en-US"/>
        </w:rPr>
        <w:t xml:space="preserve"> i </w:t>
      </w:r>
      <w:r w:rsidRPr="004E0F02">
        <w:rPr>
          <w:rFonts w:eastAsia="Calibri" w:cs="Times New Roman"/>
          <w:szCs w:val="24"/>
          <w:lang w:eastAsia="en-US"/>
        </w:rPr>
        <w:t>bezpośredni</w:t>
      </w:r>
      <w:r w:rsidR="00E45B1D" w:rsidRPr="004E0F02">
        <w:rPr>
          <w:rFonts w:eastAsia="Calibri" w:cs="Times New Roman"/>
          <w:szCs w:val="24"/>
          <w:lang w:eastAsia="en-US"/>
        </w:rPr>
        <w:t xml:space="preserve"> w </w:t>
      </w:r>
      <w:r w:rsidRPr="004E0F02">
        <w:rPr>
          <w:rFonts w:eastAsia="Calibri" w:cs="Times New Roman"/>
          <w:szCs w:val="24"/>
          <w:lang w:eastAsia="en-US"/>
        </w:rPr>
        <w:t>czasie rzeczywistym. Jest to</w:t>
      </w:r>
      <w:r w:rsidR="0050342B" w:rsidRPr="004E0F02">
        <w:rPr>
          <w:rFonts w:eastAsia="Calibri" w:cs="Times New Roman"/>
          <w:szCs w:val="24"/>
          <w:lang w:eastAsia="en-US"/>
        </w:rPr>
        <w:t> </w:t>
      </w:r>
      <w:r w:rsidRPr="004E0F02">
        <w:rPr>
          <w:rFonts w:eastAsia="Calibri" w:cs="Times New Roman"/>
          <w:szCs w:val="24"/>
          <w:lang w:eastAsia="en-US"/>
        </w:rPr>
        <w:t>rozwiązanie istotne dla informacji często aktualizowanych, charakteryzujących się dużą dynamiką</w:t>
      </w:r>
      <w:r w:rsidR="00E45B1D" w:rsidRPr="004E0F02">
        <w:rPr>
          <w:rFonts w:eastAsia="Calibri" w:cs="Times New Roman"/>
          <w:szCs w:val="24"/>
          <w:lang w:eastAsia="en-US"/>
        </w:rPr>
        <w:t xml:space="preserve"> i </w:t>
      </w:r>
      <w:r w:rsidRPr="004E0F02">
        <w:rPr>
          <w:rFonts w:eastAsia="Calibri" w:cs="Times New Roman"/>
          <w:szCs w:val="24"/>
          <w:lang w:eastAsia="en-US"/>
        </w:rPr>
        <w:t>zmiennością, których aktualność stanowi o rzeczywistym potencjale ponownego wykorzystywania.</w:t>
      </w:r>
    </w:p>
    <w:p w14:paraId="109EA7B2" w14:textId="77777777" w:rsidR="00A42682" w:rsidRPr="004E0F02" w:rsidRDefault="00A42682" w:rsidP="00A42682">
      <w:pPr>
        <w:widowControl/>
        <w:spacing w:after="120" w:line="276" w:lineRule="auto"/>
        <w:jc w:val="both"/>
        <w:rPr>
          <w:rFonts w:eastAsia="Times New Roman" w:cs="Times New Roman"/>
          <w:b/>
          <w:szCs w:val="24"/>
        </w:rPr>
      </w:pPr>
      <w:r w:rsidRPr="004E0F02">
        <w:rPr>
          <w:rFonts w:eastAsia="Times New Roman" w:cs="Times New Roman"/>
          <w:b/>
          <w:szCs w:val="24"/>
        </w:rPr>
        <w:t>III.</w:t>
      </w:r>
      <w:r w:rsidR="006A03F8" w:rsidRPr="004E0F02">
        <w:rPr>
          <w:rFonts w:eastAsia="Times New Roman" w:cs="Times New Roman"/>
          <w:b/>
          <w:szCs w:val="24"/>
        </w:rPr>
        <w:t xml:space="preserve"> Zakres projektowanej regulacji.</w:t>
      </w:r>
    </w:p>
    <w:p w14:paraId="31940D64" w14:textId="77777777" w:rsidR="00A42682" w:rsidRPr="004E0F02" w:rsidRDefault="00A42682" w:rsidP="00A42682">
      <w:pPr>
        <w:widowControl/>
        <w:spacing w:after="120" w:line="276" w:lineRule="auto"/>
        <w:jc w:val="both"/>
        <w:rPr>
          <w:rFonts w:eastAsia="Times New Roman" w:cs="Times New Roman"/>
          <w:b/>
          <w:szCs w:val="24"/>
        </w:rPr>
      </w:pPr>
      <w:r w:rsidRPr="004E0F02">
        <w:rPr>
          <w:rFonts w:eastAsia="Times New Roman" w:cs="Times New Roman"/>
          <w:szCs w:val="24"/>
        </w:rPr>
        <w:t>Główne elementy konstrukcyjne projektu ustawy oparte zostały na przepisach ustawy z</w:t>
      </w:r>
      <w:r w:rsidR="0050342B" w:rsidRPr="004E0F02">
        <w:rPr>
          <w:rFonts w:eastAsia="Times New Roman" w:cs="Times New Roman"/>
          <w:szCs w:val="24"/>
        </w:rPr>
        <w:t> </w:t>
      </w:r>
      <w:r w:rsidRPr="004E0F02">
        <w:rPr>
          <w:rFonts w:eastAsia="Times New Roman" w:cs="Times New Roman"/>
          <w:szCs w:val="24"/>
        </w:rPr>
        <w:t>2016</w:t>
      </w:r>
      <w:r w:rsidR="0050342B" w:rsidRPr="004E0F02">
        <w:rPr>
          <w:rFonts w:eastAsia="Times New Roman" w:cs="Times New Roman"/>
          <w:szCs w:val="24"/>
        </w:rPr>
        <w:t> </w:t>
      </w:r>
      <w:r w:rsidRPr="004E0F02">
        <w:rPr>
          <w:rFonts w:eastAsia="Times New Roman" w:cs="Times New Roman"/>
          <w:szCs w:val="24"/>
        </w:rPr>
        <w:t>r., przez co nie będą mieć zasadniczego wpływu na procedurę ponownego wykorzystywania. W</w:t>
      </w:r>
      <w:r w:rsidR="002B5644" w:rsidRPr="004E0F02">
        <w:rPr>
          <w:rFonts w:eastAsia="Times New Roman" w:cs="Times New Roman"/>
          <w:szCs w:val="24"/>
        </w:rPr>
        <w:t> </w:t>
      </w:r>
      <w:r w:rsidRPr="004E0F02">
        <w:rPr>
          <w:rFonts w:eastAsia="Times New Roman" w:cs="Times New Roman"/>
          <w:szCs w:val="24"/>
        </w:rPr>
        <w:t>ustawie wprowadzonych zostanie jednak szereg nowych rozwiązań legislacyjnych.</w:t>
      </w:r>
    </w:p>
    <w:p w14:paraId="17D271DF" w14:textId="76D64120"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Nowa ustawa dostosuje polskie przepisy do wymogów dyrektywy 2019/1024/UE. Planowane rozwiązania mają na celu zwiększenia podaży wartościowych danych publicznych do</w:t>
      </w:r>
      <w:r w:rsidR="0050342B" w:rsidRPr="004E0F02">
        <w:rPr>
          <w:rFonts w:eastAsia="Times New Roman" w:cs="Times New Roman"/>
          <w:szCs w:val="24"/>
        </w:rPr>
        <w:t> </w:t>
      </w:r>
      <w:r w:rsidRPr="004E0F02">
        <w:rPr>
          <w:rFonts w:eastAsia="Times New Roman" w:cs="Times New Roman"/>
          <w:szCs w:val="24"/>
        </w:rPr>
        <w:t>ponownego wykorzystywania,</w:t>
      </w:r>
      <w:r w:rsidR="00E45B1D" w:rsidRPr="004E0F02">
        <w:rPr>
          <w:rFonts w:eastAsia="Times New Roman" w:cs="Times New Roman"/>
          <w:szCs w:val="24"/>
        </w:rPr>
        <w:t xml:space="preserve"> a </w:t>
      </w:r>
      <w:r w:rsidRPr="004E0F02">
        <w:rPr>
          <w:rFonts w:eastAsia="Times New Roman" w:cs="Times New Roman"/>
          <w:szCs w:val="24"/>
        </w:rPr>
        <w:t>także poszerzenie dotychczasowego zakresu regulacyjnego ponownego wykorzystywania</w:t>
      </w:r>
      <w:r w:rsidR="00E45B1D" w:rsidRPr="004E0F02">
        <w:rPr>
          <w:rFonts w:eastAsia="Times New Roman" w:cs="Times New Roman"/>
          <w:szCs w:val="24"/>
        </w:rPr>
        <w:t xml:space="preserve"> o </w:t>
      </w:r>
      <w:r w:rsidRPr="004E0F02">
        <w:rPr>
          <w:rFonts w:eastAsia="Times New Roman" w:cs="Times New Roman"/>
          <w:szCs w:val="24"/>
        </w:rPr>
        <w:t>dane pochodzące</w:t>
      </w:r>
      <w:r w:rsidR="00E45B1D" w:rsidRPr="004E0F02">
        <w:rPr>
          <w:rFonts w:eastAsia="Times New Roman" w:cs="Times New Roman"/>
          <w:szCs w:val="24"/>
        </w:rPr>
        <w:t xml:space="preserve"> z </w:t>
      </w:r>
      <w:r w:rsidRPr="004E0F02">
        <w:rPr>
          <w:rFonts w:eastAsia="Times New Roman" w:cs="Times New Roman"/>
          <w:szCs w:val="24"/>
        </w:rPr>
        <w:t>przedsiębiorstw publicznych</w:t>
      </w:r>
      <w:r w:rsidR="00E45B1D" w:rsidRPr="004E0F02">
        <w:rPr>
          <w:rFonts w:eastAsia="Times New Roman" w:cs="Times New Roman"/>
          <w:szCs w:val="24"/>
        </w:rPr>
        <w:t xml:space="preserve"> w </w:t>
      </w:r>
      <w:r w:rsidRPr="004E0F02">
        <w:rPr>
          <w:rFonts w:eastAsia="Times New Roman" w:cs="Times New Roman"/>
          <w:szCs w:val="24"/>
        </w:rPr>
        <w:t>rozumieniu</w:t>
      </w:r>
      <w:r w:rsidR="00E45B1D" w:rsidRPr="004E0F02">
        <w:rPr>
          <w:rFonts w:eastAsia="Times New Roman" w:cs="Times New Roman"/>
          <w:szCs w:val="24"/>
        </w:rPr>
        <w:t xml:space="preserve"> art. 2 pkt 3 </w:t>
      </w:r>
      <w:r w:rsidRPr="004E0F02">
        <w:rPr>
          <w:rFonts w:eastAsia="Times New Roman" w:cs="Times New Roman"/>
          <w:szCs w:val="24"/>
        </w:rPr>
        <w:t>dyrektywy 2019/1024/UE oraz dane badawcze spełniające określone warunki. W</w:t>
      </w:r>
      <w:r w:rsidR="002B5644" w:rsidRPr="004E0F02">
        <w:rPr>
          <w:rFonts w:eastAsia="Times New Roman" w:cs="Times New Roman"/>
          <w:szCs w:val="24"/>
        </w:rPr>
        <w:t> </w:t>
      </w:r>
      <w:r w:rsidRPr="004E0F02">
        <w:rPr>
          <w:rFonts w:eastAsia="Times New Roman" w:cs="Times New Roman"/>
          <w:szCs w:val="24"/>
        </w:rPr>
        <w:t>projekcie ustawy zaproponowano nowe rozwiązania obejmujące następujące obszary:</w:t>
      </w:r>
    </w:p>
    <w:p w14:paraId="7F6748DB" w14:textId="71A42F41" w:rsidR="00A42682" w:rsidRPr="004E0F02" w:rsidRDefault="00A42682" w:rsidP="004D2DA7">
      <w:pPr>
        <w:widowControl/>
        <w:numPr>
          <w:ilvl w:val="0"/>
          <w:numId w:val="14"/>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Dane</w:t>
      </w:r>
      <w:r w:rsidR="00E45B1D" w:rsidRPr="004E0F02">
        <w:rPr>
          <w:rFonts w:eastAsia="Calibri" w:cs="Times New Roman"/>
          <w:b/>
          <w:szCs w:val="24"/>
          <w:lang w:eastAsia="en-US"/>
        </w:rPr>
        <w:t xml:space="preserve"> o </w:t>
      </w:r>
      <w:r w:rsidRPr="004E0F02">
        <w:rPr>
          <w:rFonts w:eastAsia="Calibri" w:cs="Times New Roman"/>
          <w:b/>
          <w:szCs w:val="24"/>
          <w:lang w:eastAsia="en-US"/>
        </w:rPr>
        <w:t>wysokiej wartości/API</w:t>
      </w:r>
      <w:r w:rsidRPr="004E0F02">
        <w:rPr>
          <w:rFonts w:eastAsia="Calibri" w:cs="Times New Roman"/>
          <w:szCs w:val="24"/>
          <w:lang w:eastAsia="en-US"/>
        </w:rPr>
        <w:t xml:space="preserve">: </w:t>
      </w:r>
      <w:r w:rsidRPr="004E0F02">
        <w:rPr>
          <w:rFonts w:eastAsia="Calibri" w:cs="Times New Roman"/>
          <w:bCs/>
          <w:szCs w:val="24"/>
          <w:lang w:eastAsia="en-US"/>
        </w:rPr>
        <w:t>wprowadzenie kategorii danych</w:t>
      </w:r>
      <w:r w:rsidR="00E45B1D" w:rsidRPr="004E0F02">
        <w:rPr>
          <w:rFonts w:eastAsia="Calibri" w:cs="Times New Roman"/>
          <w:bCs/>
          <w:szCs w:val="24"/>
          <w:lang w:eastAsia="en-US"/>
        </w:rPr>
        <w:t xml:space="preserve"> o </w:t>
      </w:r>
      <w:r w:rsidRPr="004E0F02">
        <w:rPr>
          <w:rFonts w:eastAsia="Calibri" w:cs="Times New Roman"/>
          <w:bCs/>
          <w:szCs w:val="24"/>
          <w:lang w:eastAsia="en-US"/>
        </w:rPr>
        <w:t>wysokiej wartości i zobligowanie podmiotów zobowiązanych do ich udostępniania do ponownego wykorzystywania co do zasady bezpłatnie,</w:t>
      </w:r>
      <w:r w:rsidR="00E45B1D" w:rsidRPr="004E0F02">
        <w:rPr>
          <w:rFonts w:eastAsia="Calibri" w:cs="Times New Roman"/>
          <w:bCs/>
          <w:szCs w:val="24"/>
          <w:lang w:eastAsia="en-US"/>
        </w:rPr>
        <w:t xml:space="preserve"> w </w:t>
      </w:r>
      <w:r w:rsidRPr="004E0F02">
        <w:rPr>
          <w:rFonts w:eastAsia="Calibri" w:cs="Times New Roman"/>
          <w:bCs/>
          <w:szCs w:val="24"/>
          <w:lang w:eastAsia="en-US"/>
        </w:rPr>
        <w:t>formacie nadającym się do odczytu maszynowego, za pośrednictwem interfejsu programistycznego aplikacji (API), oraz, w odpowiednich przypadkach, do zbiorczego pobrania.</w:t>
      </w:r>
    </w:p>
    <w:p w14:paraId="3862F963" w14:textId="370277EC" w:rsidR="00A42682" w:rsidRPr="004E0F02" w:rsidRDefault="00A42682" w:rsidP="004D2DA7">
      <w:pPr>
        <w:widowControl/>
        <w:numPr>
          <w:ilvl w:val="0"/>
          <w:numId w:val="14"/>
        </w:numPr>
        <w:autoSpaceDE/>
        <w:autoSpaceDN/>
        <w:adjustRightInd/>
        <w:spacing w:after="120" w:line="276" w:lineRule="auto"/>
        <w:contextualSpacing/>
        <w:jc w:val="both"/>
        <w:rPr>
          <w:rFonts w:eastAsia="Calibri" w:cs="Times New Roman"/>
          <w:b/>
          <w:szCs w:val="24"/>
          <w:lang w:eastAsia="en-US"/>
        </w:rPr>
      </w:pPr>
      <w:r w:rsidRPr="004E0F02">
        <w:rPr>
          <w:rFonts w:eastAsia="Calibri" w:cs="Times New Roman"/>
          <w:b/>
          <w:szCs w:val="24"/>
          <w:lang w:eastAsia="en-US"/>
        </w:rPr>
        <w:t>Dane dynamiczne/API</w:t>
      </w:r>
      <w:r w:rsidRPr="004E0F02">
        <w:rPr>
          <w:rFonts w:eastAsia="Calibri" w:cs="Times New Roman"/>
          <w:szCs w:val="24"/>
          <w:lang w:eastAsia="en-US"/>
        </w:rPr>
        <w:t>: wprowadzenie kategorii danych dynamicznych</w:t>
      </w:r>
      <w:r w:rsidR="00E45B1D" w:rsidRPr="004E0F02">
        <w:rPr>
          <w:rFonts w:eastAsia="Calibri" w:cs="Times New Roman"/>
          <w:szCs w:val="24"/>
          <w:lang w:eastAsia="en-US"/>
        </w:rPr>
        <w:t xml:space="preserve"> i </w:t>
      </w:r>
      <w:r w:rsidRPr="004E0F02">
        <w:rPr>
          <w:rFonts w:eastAsia="Calibri" w:cs="Times New Roman"/>
          <w:szCs w:val="24"/>
          <w:lang w:eastAsia="en-US"/>
        </w:rPr>
        <w:t>zobligowanie podmiotów zobowiązanych do ich udostępniania do ponownego wykorzystywania natychmiast po ich zgromadzeniu, za pośrednictwem interfejsu programistycznego aplikacji (API), oraz,</w:t>
      </w:r>
      <w:r w:rsidR="00E45B1D" w:rsidRPr="004E0F02">
        <w:rPr>
          <w:rFonts w:eastAsia="Calibri" w:cs="Times New Roman"/>
          <w:szCs w:val="24"/>
          <w:lang w:eastAsia="en-US"/>
        </w:rPr>
        <w:t xml:space="preserve"> w </w:t>
      </w:r>
      <w:r w:rsidRPr="004E0F02">
        <w:rPr>
          <w:rFonts w:eastAsia="Calibri" w:cs="Times New Roman"/>
          <w:szCs w:val="24"/>
          <w:lang w:eastAsia="en-US"/>
        </w:rPr>
        <w:t>odpowiednich przypadkach, do zbiorczego pobrania.</w:t>
      </w:r>
    </w:p>
    <w:p w14:paraId="4806204F" w14:textId="78B87057" w:rsidR="00A42682" w:rsidRPr="004E0F02" w:rsidRDefault="00A42682" w:rsidP="004D2DA7">
      <w:pPr>
        <w:widowControl/>
        <w:numPr>
          <w:ilvl w:val="0"/>
          <w:numId w:val="14"/>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Dane badawcze</w:t>
      </w:r>
      <w:r w:rsidRPr="004E0F02">
        <w:rPr>
          <w:rFonts w:eastAsia="Calibri" w:cs="Times New Roman"/>
          <w:szCs w:val="24"/>
          <w:lang w:eastAsia="en-US"/>
        </w:rPr>
        <w:t xml:space="preserve">: objęcie zakresem ponownego wykorzystywania danych badawczych </w:t>
      </w:r>
      <w:r w:rsidRPr="004E0F02">
        <w:rPr>
          <w:rFonts w:eastAsia="Calibri" w:cs="Times New Roman"/>
          <w:bCs/>
          <w:szCs w:val="24"/>
          <w:lang w:eastAsia="en-US"/>
        </w:rPr>
        <w:t>w zakresie,</w:t>
      </w:r>
      <w:r w:rsidR="00E45B1D" w:rsidRPr="004E0F02">
        <w:rPr>
          <w:rFonts w:eastAsia="Calibri" w:cs="Times New Roman"/>
          <w:bCs/>
          <w:szCs w:val="24"/>
          <w:lang w:eastAsia="en-US"/>
        </w:rPr>
        <w:t xml:space="preserve"> w </w:t>
      </w:r>
      <w:r w:rsidRPr="004E0F02">
        <w:rPr>
          <w:rFonts w:eastAsia="Calibri" w:cs="Times New Roman"/>
          <w:bCs/>
          <w:szCs w:val="24"/>
          <w:lang w:eastAsia="en-US"/>
        </w:rPr>
        <w:t>jakim dane te są finansowane ze środków publicznych</w:t>
      </w:r>
      <w:r w:rsidR="00E45B1D" w:rsidRPr="004E0F02">
        <w:rPr>
          <w:rFonts w:eastAsia="Calibri" w:cs="Times New Roman"/>
          <w:bCs/>
          <w:szCs w:val="24"/>
          <w:lang w:eastAsia="en-US"/>
        </w:rPr>
        <w:t xml:space="preserve"> i </w:t>
      </w:r>
      <w:r w:rsidRPr="004E0F02">
        <w:rPr>
          <w:rFonts w:eastAsia="Calibri" w:cs="Times New Roman"/>
          <w:bCs/>
          <w:szCs w:val="24"/>
          <w:lang w:eastAsia="en-US"/>
        </w:rPr>
        <w:t xml:space="preserve">zostały już </w:t>
      </w:r>
      <w:r w:rsidR="00D71A06" w:rsidRPr="004E0F02">
        <w:rPr>
          <w:rFonts w:eastAsia="Calibri" w:cs="Times New Roman"/>
          <w:bCs/>
          <w:szCs w:val="24"/>
          <w:lang w:eastAsia="en-US"/>
        </w:rPr>
        <w:t xml:space="preserve">publicznie </w:t>
      </w:r>
      <w:r w:rsidRPr="004E0F02">
        <w:rPr>
          <w:rFonts w:eastAsia="Calibri" w:cs="Times New Roman"/>
          <w:bCs/>
          <w:szCs w:val="24"/>
          <w:lang w:eastAsia="en-US"/>
        </w:rPr>
        <w:t>udostępnione</w:t>
      </w:r>
      <w:r w:rsidR="00E45B1D" w:rsidRPr="004E0F02">
        <w:rPr>
          <w:rFonts w:eastAsia="Calibri" w:cs="Times New Roman"/>
          <w:bCs/>
          <w:szCs w:val="24"/>
          <w:lang w:eastAsia="en-US"/>
        </w:rPr>
        <w:t xml:space="preserve"> w </w:t>
      </w:r>
      <w:r w:rsidRPr="004E0F02">
        <w:rPr>
          <w:rFonts w:eastAsia="Calibri" w:cs="Times New Roman"/>
          <w:bCs/>
          <w:szCs w:val="24"/>
          <w:lang w:eastAsia="en-US"/>
        </w:rPr>
        <w:t>systemie teleinformatycznym podmiotu zobowiązanego, w szczególności</w:t>
      </w:r>
      <w:r w:rsidR="00E45B1D" w:rsidRPr="004E0F02">
        <w:rPr>
          <w:rFonts w:eastAsia="Calibri" w:cs="Times New Roman"/>
          <w:bCs/>
          <w:szCs w:val="24"/>
          <w:lang w:eastAsia="en-US"/>
        </w:rPr>
        <w:t xml:space="preserve"> w </w:t>
      </w:r>
      <w:r w:rsidRPr="004E0F02">
        <w:rPr>
          <w:rFonts w:eastAsia="Calibri" w:cs="Times New Roman"/>
          <w:bCs/>
          <w:szCs w:val="24"/>
          <w:lang w:eastAsia="en-US"/>
        </w:rPr>
        <w:t>repozytorium instytucjonalnym lub tematycznym.</w:t>
      </w:r>
    </w:p>
    <w:p w14:paraId="2E124C45" w14:textId="24D9B313" w:rsidR="00A42682" w:rsidRPr="004E0F02" w:rsidRDefault="00A42682" w:rsidP="004D2DA7">
      <w:pPr>
        <w:widowControl/>
        <w:numPr>
          <w:ilvl w:val="0"/>
          <w:numId w:val="14"/>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bCs/>
          <w:szCs w:val="24"/>
          <w:lang w:eastAsia="en-US"/>
        </w:rPr>
        <w:t>Dane przedsiębiorstw publicznych</w:t>
      </w:r>
      <w:r w:rsidRPr="004E0F02">
        <w:rPr>
          <w:rFonts w:eastAsia="Calibri" w:cs="Times New Roman"/>
          <w:bCs/>
          <w:szCs w:val="24"/>
          <w:lang w:eastAsia="en-US"/>
        </w:rPr>
        <w:t>: objęcie zakresem ustawy danych będących w</w:t>
      </w:r>
      <w:r w:rsidR="0050342B" w:rsidRPr="004E0F02">
        <w:rPr>
          <w:rFonts w:eastAsia="Calibri" w:cs="Times New Roman"/>
          <w:bCs/>
          <w:szCs w:val="24"/>
          <w:lang w:eastAsia="en-US"/>
        </w:rPr>
        <w:t> </w:t>
      </w:r>
      <w:r w:rsidRPr="004E0F02">
        <w:rPr>
          <w:rFonts w:eastAsia="Calibri" w:cs="Times New Roman"/>
          <w:bCs/>
          <w:szCs w:val="24"/>
          <w:lang w:eastAsia="en-US"/>
        </w:rPr>
        <w:t>posiadaniu przedsiębiorstw publicznych</w:t>
      </w:r>
      <w:r w:rsidR="00E45B1D" w:rsidRPr="004E0F02">
        <w:rPr>
          <w:rFonts w:eastAsia="Calibri" w:cs="Times New Roman"/>
          <w:bCs/>
          <w:szCs w:val="24"/>
          <w:lang w:eastAsia="en-US"/>
        </w:rPr>
        <w:t xml:space="preserve"> w </w:t>
      </w:r>
      <w:r w:rsidRPr="004E0F02">
        <w:rPr>
          <w:rFonts w:eastAsia="Calibri" w:cs="Times New Roman"/>
          <w:bCs/>
          <w:szCs w:val="24"/>
          <w:lang w:eastAsia="en-US"/>
        </w:rPr>
        <w:t>rozumieniu</w:t>
      </w:r>
      <w:r w:rsidR="00E45B1D" w:rsidRPr="004E0F02">
        <w:rPr>
          <w:rFonts w:eastAsia="Calibri" w:cs="Times New Roman"/>
          <w:bCs/>
          <w:szCs w:val="24"/>
          <w:lang w:eastAsia="en-US"/>
        </w:rPr>
        <w:t xml:space="preserve"> art. 2 pkt 3 </w:t>
      </w:r>
      <w:r w:rsidRPr="004E0F02">
        <w:rPr>
          <w:rFonts w:eastAsia="Calibri" w:cs="Times New Roman"/>
          <w:bCs/>
          <w:szCs w:val="24"/>
          <w:lang w:eastAsia="en-US"/>
        </w:rPr>
        <w:t>dyrektywy</w:t>
      </w:r>
      <w:r w:rsidR="00921136" w:rsidRPr="004E0F02">
        <w:rPr>
          <w:rFonts w:eastAsia="Calibri" w:cs="Times New Roman"/>
          <w:bCs/>
          <w:szCs w:val="24"/>
          <w:lang w:eastAsia="en-US"/>
        </w:rPr>
        <w:t xml:space="preserve"> </w:t>
      </w:r>
      <w:r w:rsidRPr="004E0F02">
        <w:rPr>
          <w:rFonts w:eastAsia="Calibri" w:cs="Times New Roman"/>
          <w:bCs/>
          <w:szCs w:val="24"/>
          <w:lang w:eastAsia="en-US"/>
        </w:rPr>
        <w:t>2019/1024/UE, prowadzących działalność</w:t>
      </w:r>
      <w:r w:rsidR="00E45B1D" w:rsidRPr="004E0F02">
        <w:rPr>
          <w:rFonts w:eastAsia="Calibri" w:cs="Times New Roman"/>
          <w:bCs/>
          <w:szCs w:val="24"/>
          <w:lang w:eastAsia="en-US"/>
        </w:rPr>
        <w:t xml:space="preserve"> w </w:t>
      </w:r>
      <w:r w:rsidRPr="004E0F02">
        <w:rPr>
          <w:rFonts w:eastAsia="Calibri" w:cs="Times New Roman"/>
          <w:bCs/>
          <w:szCs w:val="24"/>
          <w:lang w:eastAsia="en-US"/>
        </w:rPr>
        <w:t>wybranych sektorach gospodarki, przy jednoczesnym niewprowadzaniu ogólnego obowiązku udostępniania lub przekazywania przez takie podmioty informacji sektora publicznego do ponownego wykorzystywania.</w:t>
      </w:r>
    </w:p>
    <w:p w14:paraId="0F04B72E" w14:textId="0C341581" w:rsidR="00A42682" w:rsidRPr="004E0F02" w:rsidRDefault="00A42682" w:rsidP="00921136">
      <w:pPr>
        <w:widowControl/>
        <w:spacing w:before="240" w:after="120" w:line="276" w:lineRule="auto"/>
        <w:jc w:val="both"/>
        <w:rPr>
          <w:rFonts w:eastAsia="Times New Roman" w:cs="Times New Roman"/>
          <w:szCs w:val="24"/>
        </w:rPr>
      </w:pPr>
      <w:r w:rsidRPr="004E0F02">
        <w:rPr>
          <w:rFonts w:eastAsia="Times New Roman" w:cs="Times New Roman"/>
          <w:szCs w:val="24"/>
        </w:rPr>
        <w:lastRenderedPageBreak/>
        <w:t>W projekcie ustawy przewidziano również wprowadzenie nowych rozwiązań wykraczających poza minimum wyznaczone dyrektywą, które usprawnią ponowne wykorzystywanie danych.</w:t>
      </w:r>
      <w:r w:rsidR="00E45B1D" w:rsidRPr="004E0F02">
        <w:rPr>
          <w:rFonts w:eastAsia="Times New Roman" w:cs="Times New Roman"/>
          <w:szCs w:val="24"/>
        </w:rPr>
        <w:t xml:space="preserve"> W </w:t>
      </w:r>
      <w:r w:rsidRPr="004E0F02">
        <w:rPr>
          <w:rFonts w:eastAsia="Times New Roman" w:cs="Times New Roman"/>
          <w:szCs w:val="24"/>
        </w:rPr>
        <w:t>tym zakresie najważniejsze zmiany obejmą następujące obszary:</w:t>
      </w:r>
    </w:p>
    <w:p w14:paraId="42F41775" w14:textId="56BAAAF9" w:rsidR="00A42682" w:rsidRPr="004E0F02" w:rsidRDefault="00A42682" w:rsidP="004D2DA7">
      <w:pPr>
        <w:widowControl/>
        <w:numPr>
          <w:ilvl w:val="0"/>
          <w:numId w:val="1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Portal danych</w:t>
      </w:r>
      <w:r w:rsidRPr="004E0F02">
        <w:rPr>
          <w:rFonts w:eastAsia="Calibri" w:cs="Times New Roman"/>
          <w:szCs w:val="24"/>
          <w:lang w:eastAsia="en-US"/>
        </w:rPr>
        <w:t>: zaktualizowanie</w:t>
      </w:r>
      <w:r w:rsidR="00E45B1D" w:rsidRPr="004E0F02">
        <w:rPr>
          <w:rFonts w:eastAsia="Calibri" w:cs="Times New Roman"/>
          <w:szCs w:val="24"/>
          <w:lang w:eastAsia="en-US"/>
        </w:rPr>
        <w:t xml:space="preserve"> i </w:t>
      </w:r>
      <w:r w:rsidRPr="004E0F02">
        <w:rPr>
          <w:rFonts w:eastAsia="Calibri" w:cs="Times New Roman"/>
          <w:szCs w:val="24"/>
          <w:lang w:eastAsia="en-US"/>
        </w:rPr>
        <w:t>przeniesienie do projektowanej ustawy regulacji dotyczącej centralnego repozytorium informacji publicznej (portalu dane.gov.pl) znajdującej się obecnie</w:t>
      </w:r>
      <w:r w:rsidR="00E45B1D" w:rsidRPr="004E0F02">
        <w:rPr>
          <w:rFonts w:eastAsia="Calibri" w:cs="Times New Roman"/>
          <w:szCs w:val="24"/>
          <w:lang w:eastAsia="en-US"/>
        </w:rPr>
        <w:t xml:space="preserve"> w </w:t>
      </w:r>
      <w:r w:rsidRPr="004E0F02">
        <w:rPr>
          <w:rFonts w:eastAsia="Calibri" w:cs="Times New Roman"/>
          <w:szCs w:val="24"/>
          <w:lang w:eastAsia="en-US"/>
        </w:rPr>
        <w:t>ustawie</w:t>
      </w:r>
      <w:r w:rsidR="00E45B1D" w:rsidRPr="004E0F02">
        <w:rPr>
          <w:rFonts w:eastAsia="Calibri" w:cs="Times New Roman"/>
          <w:szCs w:val="24"/>
          <w:lang w:eastAsia="en-US"/>
        </w:rPr>
        <w:t xml:space="preserve"> o </w:t>
      </w:r>
      <w:r w:rsidRPr="004E0F02">
        <w:rPr>
          <w:rFonts w:eastAsia="Calibri" w:cs="Times New Roman"/>
          <w:szCs w:val="24"/>
          <w:lang w:eastAsia="en-US"/>
        </w:rPr>
        <w:t>dostępie do informacji publicznej; zapewnienie możliwości podmiotom sektora prywatnego (np. przedsiębiorcom, organizacjom pozarządowym) dobrowolnego udostępniania na portalu dane.gov.pl zasobów informacji będących</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ich posiadaniu. </w:t>
      </w:r>
    </w:p>
    <w:p w14:paraId="2934C2BD" w14:textId="7BCE06D5" w:rsidR="00A42682" w:rsidRPr="004E0F02" w:rsidRDefault="00A42682" w:rsidP="004D2DA7">
      <w:pPr>
        <w:widowControl/>
        <w:numPr>
          <w:ilvl w:val="0"/>
          <w:numId w:val="1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 xml:space="preserve">Program </w:t>
      </w:r>
      <w:r w:rsidR="00D71A06" w:rsidRPr="004E0F02">
        <w:rPr>
          <w:rFonts w:eastAsia="Calibri" w:cs="Times New Roman"/>
          <w:b/>
          <w:szCs w:val="24"/>
          <w:lang w:eastAsia="en-US"/>
        </w:rPr>
        <w:t>o</w:t>
      </w:r>
      <w:r w:rsidRPr="004E0F02">
        <w:rPr>
          <w:rFonts w:eastAsia="Calibri" w:cs="Times New Roman"/>
          <w:b/>
          <w:szCs w:val="24"/>
          <w:lang w:eastAsia="en-US"/>
        </w:rPr>
        <w:t xml:space="preserve">twierania </w:t>
      </w:r>
      <w:r w:rsidR="00D71A06" w:rsidRPr="004E0F02">
        <w:rPr>
          <w:rFonts w:eastAsia="Calibri" w:cs="Times New Roman"/>
          <w:b/>
          <w:szCs w:val="24"/>
          <w:lang w:eastAsia="en-US"/>
        </w:rPr>
        <w:t>d</w:t>
      </w:r>
      <w:r w:rsidRPr="004E0F02">
        <w:rPr>
          <w:rFonts w:eastAsia="Calibri" w:cs="Times New Roman"/>
          <w:b/>
          <w:szCs w:val="24"/>
          <w:lang w:eastAsia="en-US"/>
        </w:rPr>
        <w:t>anych</w:t>
      </w:r>
      <w:r w:rsidRPr="004E0F02">
        <w:rPr>
          <w:rFonts w:eastAsia="Calibri" w:cs="Times New Roman"/>
          <w:szCs w:val="24"/>
          <w:lang w:eastAsia="en-US"/>
        </w:rPr>
        <w:t xml:space="preserve">: wprowadzenie upoważnienia ustawowego dla ministra właściwego ds. informatyzacji do opracowania Programu </w:t>
      </w:r>
      <w:r w:rsidR="00D71A06" w:rsidRPr="004E0F02">
        <w:rPr>
          <w:rFonts w:eastAsia="Calibri" w:cs="Times New Roman"/>
          <w:szCs w:val="24"/>
          <w:lang w:eastAsia="en-US"/>
        </w:rPr>
        <w:t>o</w:t>
      </w:r>
      <w:r w:rsidRPr="004E0F02">
        <w:rPr>
          <w:rFonts w:eastAsia="Calibri" w:cs="Times New Roman"/>
          <w:szCs w:val="24"/>
          <w:lang w:eastAsia="en-US"/>
        </w:rPr>
        <w:t xml:space="preserve">twierania </w:t>
      </w:r>
      <w:r w:rsidR="00D71A06" w:rsidRPr="004E0F02">
        <w:rPr>
          <w:rFonts w:eastAsia="Calibri" w:cs="Times New Roman"/>
          <w:szCs w:val="24"/>
          <w:lang w:eastAsia="en-US"/>
        </w:rPr>
        <w:t>d</w:t>
      </w:r>
      <w:r w:rsidRPr="004E0F02">
        <w:rPr>
          <w:rFonts w:eastAsia="Calibri" w:cs="Times New Roman"/>
          <w:szCs w:val="24"/>
          <w:lang w:eastAsia="en-US"/>
        </w:rPr>
        <w:t>anych</w:t>
      </w:r>
      <w:r w:rsidR="00D71A06" w:rsidRPr="004E0F02">
        <w:rPr>
          <w:rFonts w:eastAsia="Calibri" w:cs="Times New Roman"/>
          <w:szCs w:val="24"/>
          <w:lang w:eastAsia="en-US"/>
        </w:rPr>
        <w:t xml:space="preserve"> na lata 2021-2027</w:t>
      </w:r>
      <w:r w:rsidRPr="004E0F02">
        <w:rPr>
          <w:rFonts w:eastAsia="Calibri" w:cs="Times New Roman"/>
          <w:szCs w:val="24"/>
          <w:lang w:eastAsia="en-US"/>
        </w:rPr>
        <w:t>.</w:t>
      </w:r>
    </w:p>
    <w:p w14:paraId="681FA154" w14:textId="29E91589" w:rsidR="00A42682" w:rsidRPr="004E0F02" w:rsidRDefault="00A42682" w:rsidP="004D2DA7">
      <w:pPr>
        <w:widowControl/>
        <w:numPr>
          <w:ilvl w:val="0"/>
          <w:numId w:val="1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Pełnomocnicy do spraw otwartości danych</w:t>
      </w:r>
      <w:r w:rsidRPr="004E0F02">
        <w:rPr>
          <w:rFonts w:eastAsia="Calibri" w:cs="Times New Roman"/>
          <w:szCs w:val="24"/>
          <w:lang w:eastAsia="en-US"/>
        </w:rPr>
        <w:t>: uregulowanie</w:t>
      </w:r>
      <w:r w:rsidR="00E45B1D" w:rsidRPr="004E0F02">
        <w:rPr>
          <w:rFonts w:eastAsia="Calibri" w:cs="Times New Roman"/>
          <w:szCs w:val="24"/>
          <w:lang w:eastAsia="en-US"/>
        </w:rPr>
        <w:t xml:space="preserve"> w </w:t>
      </w:r>
      <w:r w:rsidRPr="004E0F02">
        <w:rPr>
          <w:rFonts w:eastAsia="Calibri" w:cs="Times New Roman"/>
          <w:szCs w:val="24"/>
          <w:lang w:eastAsia="en-US"/>
        </w:rPr>
        <w:t>ustawie statusu</w:t>
      </w:r>
      <w:r w:rsidR="00E45B1D" w:rsidRPr="004E0F02">
        <w:rPr>
          <w:rFonts w:eastAsia="Calibri" w:cs="Times New Roman"/>
          <w:szCs w:val="24"/>
          <w:lang w:eastAsia="en-US"/>
        </w:rPr>
        <w:t xml:space="preserve"> i </w:t>
      </w:r>
      <w:r w:rsidRPr="004E0F02">
        <w:rPr>
          <w:rFonts w:eastAsia="Calibri" w:cs="Times New Roman"/>
          <w:szCs w:val="24"/>
          <w:lang w:eastAsia="en-US"/>
        </w:rPr>
        <w:t>zadań pełnomocników do spraw otwartości danych działających obecnie</w:t>
      </w:r>
      <w:r w:rsidR="00E45B1D" w:rsidRPr="004E0F02">
        <w:rPr>
          <w:rFonts w:eastAsia="Calibri" w:cs="Times New Roman"/>
          <w:szCs w:val="24"/>
          <w:lang w:eastAsia="en-US"/>
        </w:rPr>
        <w:t xml:space="preserve"> w </w:t>
      </w:r>
      <w:r w:rsidRPr="004E0F02">
        <w:rPr>
          <w:rFonts w:eastAsia="Calibri" w:cs="Times New Roman"/>
          <w:szCs w:val="24"/>
          <w:lang w:eastAsia="en-US"/>
        </w:rPr>
        <w:t>wybranych instytucjach administracji rządowej (ministerstwa, KPRM, GUS); poszerzenie sieci pełnomocników do spraw otwartości danych poprzez umożliwienie ich powoływania w</w:t>
      </w:r>
      <w:r w:rsidR="000A40C5" w:rsidRPr="004E0F02">
        <w:rPr>
          <w:rFonts w:eastAsia="Calibri" w:cs="Times New Roman"/>
          <w:szCs w:val="24"/>
          <w:lang w:eastAsia="en-US"/>
        </w:rPr>
        <w:t> </w:t>
      </w:r>
      <w:r w:rsidRPr="004E0F02">
        <w:rPr>
          <w:rFonts w:eastAsia="Calibri" w:cs="Times New Roman"/>
          <w:szCs w:val="24"/>
          <w:lang w:eastAsia="en-US"/>
        </w:rPr>
        <w:t>innych instytucjach, nie tylko rządowych.</w:t>
      </w:r>
    </w:p>
    <w:p w14:paraId="207CF719" w14:textId="11B3A274" w:rsidR="00A42682" w:rsidRPr="004E0F02" w:rsidRDefault="00A42682" w:rsidP="004D2DA7">
      <w:pPr>
        <w:widowControl/>
        <w:numPr>
          <w:ilvl w:val="0"/>
          <w:numId w:val="1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Standardy otwartości danych</w:t>
      </w:r>
      <w:r w:rsidRPr="004E0F02">
        <w:rPr>
          <w:rFonts w:eastAsia="Calibri" w:cs="Times New Roman"/>
          <w:szCs w:val="24"/>
          <w:lang w:eastAsia="en-US"/>
        </w:rPr>
        <w:t xml:space="preserve">: wprowadzenie do ustawy </w:t>
      </w:r>
      <w:r w:rsidR="00E45B1D" w:rsidRPr="004E0F02">
        <w:rPr>
          <w:rFonts w:eastAsia="Calibri" w:cs="Times New Roman"/>
          <w:szCs w:val="24"/>
          <w:lang w:eastAsia="en-US"/>
        </w:rPr>
        <w:t>„</w:t>
      </w:r>
      <w:r w:rsidRPr="004E0F02">
        <w:rPr>
          <w:rFonts w:eastAsia="Calibri" w:cs="Times New Roman"/>
          <w:szCs w:val="24"/>
          <w:lang w:eastAsia="en-US"/>
        </w:rPr>
        <w:t>filarów otwartości</w:t>
      </w:r>
      <w:r w:rsidR="00E45B1D" w:rsidRPr="004E0F02">
        <w:rPr>
          <w:rFonts w:eastAsia="Calibri" w:cs="Times New Roman"/>
          <w:szCs w:val="24"/>
          <w:lang w:eastAsia="en-US"/>
        </w:rPr>
        <w:t>”</w:t>
      </w:r>
      <w:r w:rsidRPr="004E0F02">
        <w:rPr>
          <w:rFonts w:eastAsia="Calibri" w:cs="Times New Roman"/>
          <w:szCs w:val="24"/>
          <w:lang w:eastAsia="en-US"/>
        </w:rPr>
        <w:t xml:space="preserve"> zdefiniowanych</w:t>
      </w:r>
      <w:r w:rsidR="00E45B1D" w:rsidRPr="004E0F02">
        <w:rPr>
          <w:rFonts w:eastAsia="Calibri" w:cs="Times New Roman"/>
          <w:szCs w:val="24"/>
          <w:lang w:eastAsia="en-US"/>
        </w:rPr>
        <w:t xml:space="preserve"> w </w:t>
      </w:r>
      <w:r w:rsidRPr="004E0F02">
        <w:rPr>
          <w:rFonts w:eastAsia="Calibri" w:cs="Times New Roman"/>
          <w:szCs w:val="24"/>
          <w:lang w:eastAsia="en-US"/>
        </w:rPr>
        <w:t>Standardzie prawnym</w:t>
      </w:r>
      <w:r w:rsidR="00D71A06" w:rsidRPr="004E0F02">
        <w:rPr>
          <w:rFonts w:eastAsia="Calibri" w:cs="Times New Roman"/>
          <w:szCs w:val="24"/>
          <w:lang w:eastAsia="en-US"/>
        </w:rPr>
        <w:t xml:space="preserve"> otwartości danych</w:t>
      </w:r>
      <w:r w:rsidRPr="004E0F02">
        <w:rPr>
          <w:rFonts w:eastAsia="Calibri" w:cs="Times New Roman"/>
          <w:szCs w:val="24"/>
          <w:lang w:eastAsia="en-US"/>
        </w:rPr>
        <w:t xml:space="preserve"> oraz Programie </w:t>
      </w:r>
      <w:r w:rsidR="00D71A06" w:rsidRPr="004E0F02">
        <w:rPr>
          <w:rFonts w:eastAsia="Calibri" w:cs="Times New Roman"/>
          <w:szCs w:val="24"/>
          <w:lang w:eastAsia="en-US"/>
        </w:rPr>
        <w:t>o</w:t>
      </w:r>
      <w:r w:rsidRPr="004E0F02">
        <w:rPr>
          <w:rFonts w:eastAsia="Calibri" w:cs="Times New Roman"/>
          <w:szCs w:val="24"/>
          <w:lang w:eastAsia="en-US"/>
        </w:rPr>
        <w:t xml:space="preserve">twierania </w:t>
      </w:r>
      <w:r w:rsidR="00D71A06" w:rsidRPr="004E0F02">
        <w:rPr>
          <w:rFonts w:eastAsia="Calibri" w:cs="Times New Roman"/>
          <w:szCs w:val="24"/>
          <w:lang w:eastAsia="en-US"/>
        </w:rPr>
        <w:t>d</w:t>
      </w:r>
      <w:r w:rsidRPr="004E0F02">
        <w:rPr>
          <w:rFonts w:eastAsia="Calibri" w:cs="Times New Roman"/>
          <w:szCs w:val="24"/>
          <w:lang w:eastAsia="en-US"/>
        </w:rPr>
        <w:t xml:space="preserve">anych </w:t>
      </w:r>
      <w:r w:rsidR="00D71A06" w:rsidRPr="004E0F02">
        <w:rPr>
          <w:rFonts w:eastAsia="Calibri" w:cs="Times New Roman"/>
          <w:szCs w:val="24"/>
          <w:lang w:eastAsia="en-US"/>
        </w:rPr>
        <w:t>p</w:t>
      </w:r>
      <w:r w:rsidRPr="004E0F02">
        <w:rPr>
          <w:rFonts w:eastAsia="Calibri" w:cs="Times New Roman"/>
          <w:szCs w:val="24"/>
          <w:lang w:eastAsia="en-US"/>
        </w:rPr>
        <w:t>ublicznych z 201</w:t>
      </w:r>
      <w:r w:rsidR="00E45B1D" w:rsidRPr="004E0F02">
        <w:rPr>
          <w:rFonts w:eastAsia="Calibri" w:cs="Times New Roman"/>
          <w:szCs w:val="24"/>
          <w:lang w:eastAsia="en-US"/>
        </w:rPr>
        <w:t>6 </w:t>
      </w:r>
      <w:r w:rsidRPr="004E0F02">
        <w:rPr>
          <w:rFonts w:eastAsia="Calibri" w:cs="Times New Roman"/>
          <w:szCs w:val="24"/>
          <w:lang w:eastAsia="en-US"/>
        </w:rPr>
        <w:t>r.</w:t>
      </w:r>
    </w:p>
    <w:p w14:paraId="75203CEA" w14:textId="5246CA5E" w:rsidR="00A42682" w:rsidRPr="004E0F02" w:rsidRDefault="00A42682" w:rsidP="004D2DA7">
      <w:pPr>
        <w:widowControl/>
        <w:numPr>
          <w:ilvl w:val="0"/>
          <w:numId w:val="1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Kompleksowa struktura pojęciowa (słowniczek ustawowy)</w:t>
      </w:r>
      <w:r w:rsidRPr="004E0F02">
        <w:rPr>
          <w:rFonts w:eastAsia="Calibri" w:cs="Times New Roman"/>
          <w:szCs w:val="24"/>
          <w:lang w:eastAsia="en-US"/>
        </w:rPr>
        <w:t>: opracowanie i</w:t>
      </w:r>
      <w:r w:rsidR="000A40C5" w:rsidRPr="004E0F02">
        <w:rPr>
          <w:rFonts w:eastAsia="Calibri" w:cs="Times New Roman"/>
          <w:szCs w:val="24"/>
          <w:lang w:eastAsia="en-US"/>
        </w:rPr>
        <w:t> </w:t>
      </w:r>
      <w:r w:rsidRPr="004E0F02">
        <w:rPr>
          <w:rFonts w:eastAsia="Calibri" w:cs="Times New Roman"/>
          <w:szCs w:val="24"/>
          <w:lang w:eastAsia="en-US"/>
        </w:rPr>
        <w:t>wprowadzenie słowniczka ustawowego</w:t>
      </w:r>
      <w:r w:rsidR="000A40C5" w:rsidRPr="004E0F02">
        <w:rPr>
          <w:rFonts w:eastAsia="Calibri" w:cs="Times New Roman"/>
          <w:szCs w:val="24"/>
          <w:lang w:eastAsia="en-US"/>
        </w:rPr>
        <w:t>,</w:t>
      </w:r>
      <w:r w:rsidRPr="004E0F02">
        <w:rPr>
          <w:rFonts w:eastAsia="Calibri" w:cs="Times New Roman"/>
          <w:szCs w:val="24"/>
          <w:lang w:eastAsia="en-US"/>
        </w:rPr>
        <w:t xml:space="preserve"> m.in.: otwarte dane, informacje sektora publicznego, ponowne wykorzystywanie, dane prywatne, portal danych, format otwarty, format przeznaczony do odczytu maszynowego, metadane, anonimizacja, interfejs programistycznych aplikacji (API).</w:t>
      </w:r>
    </w:p>
    <w:p w14:paraId="70CDDE1B" w14:textId="017901A5" w:rsidR="00A42682" w:rsidRPr="004E0F02" w:rsidRDefault="00A42682" w:rsidP="004D2DA7">
      <w:pPr>
        <w:widowControl/>
        <w:numPr>
          <w:ilvl w:val="0"/>
          <w:numId w:val="1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Katalog zasad udostępniania</w:t>
      </w:r>
      <w:r w:rsidR="00E45B1D" w:rsidRPr="004E0F02">
        <w:rPr>
          <w:rFonts w:eastAsia="Calibri" w:cs="Times New Roman"/>
          <w:b/>
          <w:szCs w:val="24"/>
          <w:lang w:eastAsia="en-US"/>
        </w:rPr>
        <w:t xml:space="preserve"> i </w:t>
      </w:r>
      <w:r w:rsidRPr="004E0F02">
        <w:rPr>
          <w:rFonts w:eastAsia="Calibri" w:cs="Times New Roman"/>
          <w:b/>
          <w:szCs w:val="24"/>
          <w:lang w:eastAsia="en-US"/>
        </w:rPr>
        <w:t>przekazywania informacji sektora publicznego</w:t>
      </w:r>
      <w:r w:rsidRPr="004E0F02">
        <w:rPr>
          <w:rFonts w:eastAsia="Calibri" w:cs="Times New Roman"/>
          <w:szCs w:val="24"/>
          <w:lang w:eastAsia="en-US"/>
        </w:rPr>
        <w:t>: poszerzenie katalogu zasad udostępniania i</w:t>
      </w:r>
      <w:r w:rsidR="000A40C5" w:rsidRPr="004E0F02">
        <w:rPr>
          <w:rFonts w:eastAsia="Calibri" w:cs="Times New Roman"/>
          <w:szCs w:val="24"/>
          <w:lang w:eastAsia="en-US"/>
        </w:rPr>
        <w:t> </w:t>
      </w:r>
      <w:r w:rsidRPr="004E0F02">
        <w:rPr>
          <w:rFonts w:eastAsia="Calibri" w:cs="Times New Roman"/>
          <w:szCs w:val="24"/>
          <w:lang w:eastAsia="en-US"/>
        </w:rPr>
        <w:t>przekazywania informacji sektora publicznego, który obejmować będzie już zdefiniowane oraz nowo sformułowane zasady, takie jak np. zasada udostępniania (o ile jest to możliwe) informacji sektora publicznego do ponownego wykorzystywania jako otwarte dane.</w:t>
      </w:r>
    </w:p>
    <w:p w14:paraId="24CEB0D0" w14:textId="44C1841A" w:rsidR="00A42682" w:rsidRPr="004E0F02" w:rsidRDefault="00A42682" w:rsidP="004D2DA7">
      <w:pPr>
        <w:widowControl/>
        <w:numPr>
          <w:ilvl w:val="0"/>
          <w:numId w:val="1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 xml:space="preserve">Warunki ponownego wykorzystywania: </w:t>
      </w:r>
      <w:r w:rsidRPr="004E0F02">
        <w:rPr>
          <w:rFonts w:eastAsia="Calibri" w:cs="Times New Roman"/>
          <w:szCs w:val="24"/>
          <w:lang w:eastAsia="en-US"/>
        </w:rPr>
        <w:t xml:space="preserve">umożliwienie stosowania </w:t>
      </w:r>
      <w:r w:rsidR="007911D0" w:rsidRPr="004E0F02">
        <w:rPr>
          <w:rFonts w:eastAsia="Calibri" w:cs="Times New Roman"/>
          <w:szCs w:val="24"/>
          <w:lang w:eastAsia="en-US"/>
        </w:rPr>
        <w:t xml:space="preserve">standardowych </w:t>
      </w:r>
      <w:r w:rsidRPr="004E0F02">
        <w:rPr>
          <w:rFonts w:eastAsia="Calibri" w:cs="Times New Roman"/>
          <w:szCs w:val="24"/>
          <w:lang w:eastAsia="en-US"/>
        </w:rPr>
        <w:t>otwartych licencji zamiast warunków ponownego wykorzystywania.</w:t>
      </w:r>
    </w:p>
    <w:p w14:paraId="1F43744F" w14:textId="77777777" w:rsidR="00A42682" w:rsidRPr="004E0F02" w:rsidRDefault="00A42682" w:rsidP="004D2DA7">
      <w:pPr>
        <w:widowControl/>
        <w:numPr>
          <w:ilvl w:val="0"/>
          <w:numId w:val="1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b/>
          <w:szCs w:val="24"/>
          <w:lang w:eastAsia="en-US"/>
        </w:rPr>
        <w:t>Kod źródłowy</w:t>
      </w:r>
      <w:r w:rsidR="00707D22" w:rsidRPr="004E0F02">
        <w:rPr>
          <w:rFonts w:eastAsia="Calibri" w:cs="Times New Roman"/>
          <w:szCs w:val="24"/>
          <w:lang w:eastAsia="en-US"/>
        </w:rPr>
        <w:t xml:space="preserve">: </w:t>
      </w:r>
      <w:r w:rsidRPr="004E0F02">
        <w:rPr>
          <w:rFonts w:eastAsia="Calibri" w:cs="Times New Roman"/>
          <w:szCs w:val="24"/>
          <w:lang w:eastAsia="en-US"/>
        </w:rPr>
        <w:t>wprowadzenie możliwości fakultatywnego udostępniania do</w:t>
      </w:r>
      <w:r w:rsidR="000A40C5" w:rsidRPr="004E0F02">
        <w:rPr>
          <w:rFonts w:eastAsia="Calibri" w:cs="Times New Roman"/>
          <w:szCs w:val="24"/>
          <w:lang w:eastAsia="en-US"/>
        </w:rPr>
        <w:t> </w:t>
      </w:r>
      <w:r w:rsidRPr="004E0F02">
        <w:rPr>
          <w:rFonts w:eastAsia="Calibri" w:cs="Times New Roman"/>
          <w:szCs w:val="24"/>
          <w:lang w:eastAsia="en-US"/>
        </w:rPr>
        <w:t>ponownego wykorzystywania kodu źródłowego programu komputerowego.</w:t>
      </w:r>
    </w:p>
    <w:p w14:paraId="79D1B271" w14:textId="77777777" w:rsidR="00A42682" w:rsidRPr="004E0F02" w:rsidRDefault="00A42682" w:rsidP="00921136">
      <w:pPr>
        <w:widowControl/>
        <w:spacing w:before="240" w:after="120" w:line="276" w:lineRule="auto"/>
        <w:jc w:val="both"/>
        <w:rPr>
          <w:rFonts w:eastAsia="Times New Roman" w:cs="Times New Roman"/>
          <w:b/>
          <w:szCs w:val="24"/>
        </w:rPr>
      </w:pPr>
      <w:r w:rsidRPr="004E0F02">
        <w:rPr>
          <w:rFonts w:eastAsia="Times New Roman" w:cs="Times New Roman"/>
          <w:b/>
          <w:szCs w:val="24"/>
        </w:rPr>
        <w:t>IV. Systematyka ustawy.</w:t>
      </w:r>
    </w:p>
    <w:p w14:paraId="7CB79EA5" w14:textId="2E792BC1"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Systematyka ustawy</w:t>
      </w:r>
      <w:r w:rsidR="00E45B1D" w:rsidRPr="004E0F02">
        <w:rPr>
          <w:rFonts w:eastAsia="Times New Roman" w:cs="Times New Roman"/>
          <w:szCs w:val="24"/>
        </w:rPr>
        <w:t xml:space="preserve"> w </w:t>
      </w:r>
      <w:r w:rsidRPr="004E0F02">
        <w:rPr>
          <w:rFonts w:eastAsia="Times New Roman" w:cs="Times New Roman"/>
          <w:szCs w:val="24"/>
        </w:rPr>
        <w:t>zasadniczej części oparta została na przepisach ustawy</w:t>
      </w:r>
      <w:r w:rsidR="00E45B1D" w:rsidRPr="004E0F02">
        <w:rPr>
          <w:rFonts w:eastAsia="Times New Roman" w:cs="Times New Roman"/>
          <w:szCs w:val="24"/>
        </w:rPr>
        <w:t xml:space="preserve"> z </w:t>
      </w:r>
      <w:r w:rsidRPr="004E0F02">
        <w:rPr>
          <w:rFonts w:eastAsia="Times New Roman" w:cs="Times New Roman"/>
          <w:szCs w:val="24"/>
        </w:rPr>
        <w:t>201</w:t>
      </w:r>
      <w:r w:rsidR="00E45B1D" w:rsidRPr="004E0F02">
        <w:rPr>
          <w:rFonts w:eastAsia="Times New Roman" w:cs="Times New Roman"/>
          <w:szCs w:val="24"/>
        </w:rPr>
        <w:t>6 </w:t>
      </w:r>
      <w:r w:rsidRPr="004E0F02">
        <w:rPr>
          <w:rFonts w:eastAsia="Times New Roman" w:cs="Times New Roman"/>
          <w:szCs w:val="24"/>
        </w:rPr>
        <w:t>r. Część nowych rozwiązań legislacyjnych wprowadzona została</w:t>
      </w:r>
      <w:r w:rsidR="00E45B1D" w:rsidRPr="004E0F02">
        <w:rPr>
          <w:rFonts w:eastAsia="Times New Roman" w:cs="Times New Roman"/>
          <w:szCs w:val="24"/>
        </w:rPr>
        <w:t xml:space="preserve"> w </w:t>
      </w:r>
      <w:r w:rsidRPr="004E0F02">
        <w:rPr>
          <w:rFonts w:eastAsia="Times New Roman" w:cs="Times New Roman"/>
          <w:szCs w:val="24"/>
        </w:rPr>
        <w:t>ramach regulacji znajdujących się</w:t>
      </w:r>
      <w:r w:rsidR="00E45B1D" w:rsidRPr="004E0F02">
        <w:rPr>
          <w:rFonts w:eastAsia="Times New Roman" w:cs="Times New Roman"/>
          <w:szCs w:val="24"/>
        </w:rPr>
        <w:t xml:space="preserve"> w </w:t>
      </w:r>
      <w:r w:rsidRPr="004E0F02">
        <w:rPr>
          <w:rFonts w:eastAsia="Times New Roman" w:cs="Times New Roman"/>
          <w:szCs w:val="24"/>
        </w:rPr>
        <w:t>rozdziałach dotychczasowej ustawy. Wprowadzono jednocześnie nowe rozdziały,</w:t>
      </w:r>
      <w:r w:rsidR="00E45B1D" w:rsidRPr="004E0F02">
        <w:rPr>
          <w:rFonts w:eastAsia="Times New Roman" w:cs="Times New Roman"/>
          <w:szCs w:val="24"/>
        </w:rPr>
        <w:t xml:space="preserve"> w </w:t>
      </w:r>
      <w:r w:rsidRPr="004E0F02">
        <w:rPr>
          <w:rFonts w:eastAsia="Times New Roman" w:cs="Times New Roman"/>
          <w:szCs w:val="24"/>
        </w:rPr>
        <w:t xml:space="preserve">których zgrupowano regulacje dotyczące otwartych danych (w tym Programu </w:t>
      </w:r>
      <w:r w:rsidR="00B71FF9" w:rsidRPr="004E0F02">
        <w:rPr>
          <w:rFonts w:eastAsia="Times New Roman" w:cs="Times New Roman"/>
          <w:szCs w:val="24"/>
        </w:rPr>
        <w:t>o</w:t>
      </w:r>
      <w:r w:rsidRPr="004E0F02">
        <w:rPr>
          <w:rFonts w:eastAsia="Times New Roman" w:cs="Times New Roman"/>
          <w:szCs w:val="24"/>
        </w:rPr>
        <w:t xml:space="preserve">twierania </w:t>
      </w:r>
      <w:r w:rsidR="00B71FF9" w:rsidRPr="004E0F02">
        <w:rPr>
          <w:rFonts w:eastAsia="Times New Roman" w:cs="Times New Roman"/>
          <w:szCs w:val="24"/>
        </w:rPr>
        <w:t>d</w:t>
      </w:r>
      <w:r w:rsidRPr="004E0F02">
        <w:rPr>
          <w:rFonts w:eastAsia="Times New Roman" w:cs="Times New Roman"/>
          <w:szCs w:val="24"/>
        </w:rPr>
        <w:t>anych), portalu danych, pełnomocników do spraw otwartości danych,</w:t>
      </w:r>
      <w:r w:rsidR="00E45B1D" w:rsidRPr="004E0F02">
        <w:rPr>
          <w:rFonts w:eastAsia="Times New Roman" w:cs="Times New Roman"/>
          <w:szCs w:val="24"/>
        </w:rPr>
        <w:t xml:space="preserve"> a </w:t>
      </w:r>
      <w:r w:rsidRPr="004E0F02">
        <w:rPr>
          <w:rFonts w:eastAsia="Times New Roman" w:cs="Times New Roman"/>
          <w:szCs w:val="24"/>
        </w:rPr>
        <w:t xml:space="preserve">także przepisy szczególne </w:t>
      </w:r>
      <w:r w:rsidR="000A40C5" w:rsidRPr="004E0F02">
        <w:rPr>
          <w:rFonts w:eastAsia="Times New Roman" w:cs="Times New Roman"/>
          <w:szCs w:val="24"/>
        </w:rPr>
        <w:t xml:space="preserve">dotyczące </w:t>
      </w:r>
      <w:r w:rsidRPr="004E0F02">
        <w:rPr>
          <w:rFonts w:eastAsia="Times New Roman" w:cs="Times New Roman"/>
          <w:szCs w:val="24"/>
        </w:rPr>
        <w:t>udostępniania do ponownego wykorzystywania danych</w:t>
      </w:r>
      <w:r w:rsidR="00E45B1D" w:rsidRPr="004E0F02">
        <w:rPr>
          <w:rFonts w:eastAsia="Times New Roman" w:cs="Times New Roman"/>
          <w:szCs w:val="24"/>
        </w:rPr>
        <w:t xml:space="preserve"> o </w:t>
      </w:r>
      <w:r w:rsidRPr="004E0F02">
        <w:rPr>
          <w:rFonts w:eastAsia="Times New Roman" w:cs="Times New Roman"/>
          <w:szCs w:val="24"/>
        </w:rPr>
        <w:t>wysokiej wartości, danych dynamicznych oraz danych badawczych.</w:t>
      </w:r>
    </w:p>
    <w:p w14:paraId="2B4E1B0D" w14:textId="56514CC2"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lastRenderedPageBreak/>
        <w:t>Przepisy ustawy pogrupowane zostały</w:t>
      </w:r>
      <w:r w:rsidR="00E45B1D" w:rsidRPr="004E0F02">
        <w:rPr>
          <w:rFonts w:eastAsia="Times New Roman" w:cs="Times New Roman"/>
          <w:szCs w:val="24"/>
        </w:rPr>
        <w:t xml:space="preserve"> w </w:t>
      </w:r>
      <w:r w:rsidRPr="004E0F02">
        <w:rPr>
          <w:rFonts w:eastAsia="Times New Roman" w:cs="Times New Roman"/>
          <w:szCs w:val="24"/>
        </w:rPr>
        <w:t>następujące rozdziały:</w:t>
      </w:r>
    </w:p>
    <w:p w14:paraId="6E7085FB" w14:textId="77777777" w:rsidR="00A42682" w:rsidRPr="004E0F02" w:rsidRDefault="00A42682"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Przepisy ogólne.</w:t>
      </w:r>
    </w:p>
    <w:p w14:paraId="6DD0DA3A" w14:textId="01A2BE4D" w:rsidR="00A42682" w:rsidRPr="004E0F02" w:rsidRDefault="00A42682"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Zasady udostępniania</w:t>
      </w:r>
      <w:r w:rsidR="00E45B1D" w:rsidRPr="004E0F02">
        <w:rPr>
          <w:rFonts w:eastAsia="Times New Roman" w:cs="Times New Roman"/>
          <w:szCs w:val="24"/>
        </w:rPr>
        <w:t xml:space="preserve"> i </w:t>
      </w:r>
      <w:r w:rsidRPr="004E0F02">
        <w:rPr>
          <w:rFonts w:eastAsia="Times New Roman" w:cs="Times New Roman"/>
          <w:szCs w:val="24"/>
        </w:rPr>
        <w:t>przekazywania informacji sektora publicznego</w:t>
      </w:r>
      <w:r w:rsidR="00E45B1D" w:rsidRPr="004E0F02">
        <w:rPr>
          <w:rFonts w:eastAsia="Times New Roman" w:cs="Times New Roman"/>
          <w:szCs w:val="24"/>
        </w:rPr>
        <w:t xml:space="preserve"> w </w:t>
      </w:r>
      <w:r w:rsidRPr="004E0F02">
        <w:rPr>
          <w:rFonts w:eastAsia="Times New Roman" w:cs="Times New Roman"/>
          <w:szCs w:val="24"/>
        </w:rPr>
        <w:t xml:space="preserve">celu ponownego wykorzystywania. </w:t>
      </w:r>
    </w:p>
    <w:p w14:paraId="0050E094" w14:textId="77777777" w:rsidR="00A42682" w:rsidRPr="004E0F02" w:rsidRDefault="00A42682"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Warunki ponownego wykorzystywania.</w:t>
      </w:r>
    </w:p>
    <w:p w14:paraId="39C44AD5" w14:textId="79906746" w:rsidR="00A42682" w:rsidRPr="004E0F02" w:rsidRDefault="00B71FF9"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 xml:space="preserve">Zasady ustalania opłat </w:t>
      </w:r>
      <w:r w:rsidR="00A42682" w:rsidRPr="004E0F02">
        <w:rPr>
          <w:rFonts w:eastAsia="Times New Roman" w:cs="Times New Roman"/>
          <w:szCs w:val="24"/>
        </w:rPr>
        <w:t>za ponowne wykorzystywanie.</w:t>
      </w:r>
    </w:p>
    <w:p w14:paraId="3A77A8A5" w14:textId="25AD586C" w:rsidR="00A42682" w:rsidRPr="004E0F02" w:rsidRDefault="00A42682"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Dane</w:t>
      </w:r>
      <w:r w:rsidR="00E45B1D" w:rsidRPr="004E0F02">
        <w:rPr>
          <w:rFonts w:eastAsia="Times New Roman" w:cs="Times New Roman"/>
          <w:szCs w:val="24"/>
        </w:rPr>
        <w:t xml:space="preserve"> o </w:t>
      </w:r>
      <w:r w:rsidRPr="004E0F02">
        <w:rPr>
          <w:rFonts w:eastAsia="Times New Roman" w:cs="Times New Roman"/>
          <w:szCs w:val="24"/>
        </w:rPr>
        <w:t>wysokiej wartości, dane dynamiczne</w:t>
      </w:r>
      <w:r w:rsidR="00E45B1D" w:rsidRPr="004E0F02">
        <w:rPr>
          <w:rFonts w:eastAsia="Times New Roman" w:cs="Times New Roman"/>
          <w:szCs w:val="24"/>
        </w:rPr>
        <w:t xml:space="preserve"> i </w:t>
      </w:r>
      <w:r w:rsidRPr="004E0F02">
        <w:rPr>
          <w:rFonts w:eastAsia="Times New Roman" w:cs="Times New Roman"/>
          <w:szCs w:val="24"/>
        </w:rPr>
        <w:t>dane badawcze.</w:t>
      </w:r>
    </w:p>
    <w:p w14:paraId="1B8D8CF2" w14:textId="33D6D24E" w:rsidR="00A42682" w:rsidRPr="004E0F02" w:rsidRDefault="00B71FF9"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Program otwierania danych</w:t>
      </w:r>
      <w:r w:rsidR="00A42682" w:rsidRPr="004E0F02">
        <w:rPr>
          <w:rFonts w:eastAsia="Times New Roman" w:cs="Times New Roman"/>
          <w:szCs w:val="24"/>
        </w:rPr>
        <w:t>.</w:t>
      </w:r>
    </w:p>
    <w:p w14:paraId="2064F2F0" w14:textId="534EC723" w:rsidR="00A42682" w:rsidRPr="004E0F02" w:rsidRDefault="00A42682"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Portal danych.</w:t>
      </w:r>
    </w:p>
    <w:p w14:paraId="5BC89E8D" w14:textId="77777777" w:rsidR="00A42682" w:rsidRPr="004E0F02" w:rsidRDefault="00A42682"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Pełnomocnicy do spraw otwartości danych.</w:t>
      </w:r>
    </w:p>
    <w:p w14:paraId="3A777E5C" w14:textId="77777777" w:rsidR="00A42682" w:rsidRPr="004E0F02" w:rsidRDefault="00A42682"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Ponowne wykorzystywanie informacji sektora publicznego przekazywanych na wniosek.</w:t>
      </w:r>
    </w:p>
    <w:p w14:paraId="153761EC" w14:textId="702676CC" w:rsidR="00A42682" w:rsidRPr="004E0F02" w:rsidRDefault="00A42682"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Zmiany</w:t>
      </w:r>
      <w:r w:rsidR="00E45B1D" w:rsidRPr="004E0F02">
        <w:rPr>
          <w:rFonts w:eastAsia="Times New Roman" w:cs="Times New Roman"/>
          <w:szCs w:val="24"/>
        </w:rPr>
        <w:t xml:space="preserve"> w </w:t>
      </w:r>
      <w:r w:rsidRPr="004E0F02">
        <w:rPr>
          <w:rFonts w:eastAsia="Times New Roman" w:cs="Times New Roman"/>
          <w:szCs w:val="24"/>
        </w:rPr>
        <w:t>przepisach obowiązujących.</w:t>
      </w:r>
    </w:p>
    <w:p w14:paraId="08B44DB0" w14:textId="3FBBC7FE" w:rsidR="00A42682" w:rsidRPr="004E0F02" w:rsidRDefault="00A42682" w:rsidP="004D2DA7">
      <w:pPr>
        <w:widowControl/>
        <w:numPr>
          <w:ilvl w:val="0"/>
          <w:numId w:val="16"/>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Przepisy przejściowe</w:t>
      </w:r>
      <w:r w:rsidR="00B71FF9" w:rsidRPr="004E0F02">
        <w:rPr>
          <w:rFonts w:eastAsia="Times New Roman" w:cs="Times New Roman"/>
          <w:szCs w:val="24"/>
        </w:rPr>
        <w:t>, dostosowujące</w:t>
      </w:r>
      <w:r w:rsidR="00E45B1D" w:rsidRPr="004E0F02">
        <w:rPr>
          <w:rFonts w:eastAsia="Times New Roman" w:cs="Times New Roman"/>
          <w:szCs w:val="24"/>
        </w:rPr>
        <w:t xml:space="preserve"> i </w:t>
      </w:r>
      <w:r w:rsidRPr="004E0F02">
        <w:rPr>
          <w:rFonts w:eastAsia="Times New Roman" w:cs="Times New Roman"/>
          <w:szCs w:val="24"/>
        </w:rPr>
        <w:t>przepis</w:t>
      </w:r>
      <w:r w:rsidR="00126B59" w:rsidRPr="004E0F02">
        <w:rPr>
          <w:rFonts w:eastAsia="Times New Roman" w:cs="Times New Roman"/>
          <w:szCs w:val="24"/>
        </w:rPr>
        <w:t>y</w:t>
      </w:r>
      <w:r w:rsidRPr="004E0F02">
        <w:rPr>
          <w:rFonts w:eastAsia="Times New Roman" w:cs="Times New Roman"/>
          <w:szCs w:val="24"/>
        </w:rPr>
        <w:t xml:space="preserve"> końcow</w:t>
      </w:r>
      <w:r w:rsidR="00126B59" w:rsidRPr="004E0F02">
        <w:rPr>
          <w:rFonts w:eastAsia="Times New Roman" w:cs="Times New Roman"/>
          <w:szCs w:val="24"/>
        </w:rPr>
        <w:t>e</w:t>
      </w:r>
      <w:r w:rsidRPr="004E0F02">
        <w:rPr>
          <w:rFonts w:eastAsia="Times New Roman" w:cs="Times New Roman"/>
          <w:szCs w:val="24"/>
        </w:rPr>
        <w:t>.</w:t>
      </w:r>
    </w:p>
    <w:p w14:paraId="08152033" w14:textId="77777777" w:rsidR="00A42682" w:rsidRPr="004E0F02" w:rsidRDefault="00A42682" w:rsidP="00921136">
      <w:pPr>
        <w:widowControl/>
        <w:spacing w:before="240" w:after="120" w:line="276" w:lineRule="auto"/>
        <w:jc w:val="both"/>
        <w:rPr>
          <w:rFonts w:eastAsia="Times New Roman" w:cs="Times New Roman"/>
          <w:b/>
          <w:szCs w:val="24"/>
        </w:rPr>
      </w:pPr>
      <w:r w:rsidRPr="004E0F02">
        <w:rPr>
          <w:rFonts w:eastAsia="Times New Roman" w:cs="Times New Roman"/>
          <w:b/>
          <w:szCs w:val="24"/>
        </w:rPr>
        <w:t>V. Szczegółowe regulacje.</w:t>
      </w:r>
    </w:p>
    <w:p w14:paraId="2D80EE0A" w14:textId="77777777" w:rsidR="00A42682" w:rsidRPr="004E0F02" w:rsidRDefault="00A42682" w:rsidP="00A42682">
      <w:pPr>
        <w:widowControl/>
        <w:spacing w:after="120" w:line="276" w:lineRule="auto"/>
        <w:jc w:val="both"/>
        <w:rPr>
          <w:rFonts w:eastAsia="Times New Roman" w:cs="Times New Roman"/>
          <w:b/>
          <w:szCs w:val="24"/>
        </w:rPr>
      </w:pPr>
      <w:r w:rsidRPr="004E0F02">
        <w:rPr>
          <w:rFonts w:eastAsia="Times New Roman" w:cs="Times New Roman"/>
          <w:b/>
          <w:szCs w:val="24"/>
        </w:rPr>
        <w:t>Rozdział 1. Przepisy ogólne</w:t>
      </w:r>
    </w:p>
    <w:p w14:paraId="4638C13C" w14:textId="77777777"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Zakres przedmiotowy.</w:t>
      </w:r>
    </w:p>
    <w:p w14:paraId="0A59FF34" w14:textId="0EE0ABEE"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Zgodnie</w:t>
      </w:r>
      <w:r w:rsidR="00E45B1D" w:rsidRPr="004E0F02">
        <w:rPr>
          <w:rFonts w:eastAsia="Times New Roman" w:cs="Times New Roman"/>
          <w:szCs w:val="24"/>
        </w:rPr>
        <w:t xml:space="preserve"> z art. 1 </w:t>
      </w:r>
      <w:r w:rsidRPr="004E0F02">
        <w:rPr>
          <w:rFonts w:eastAsia="Times New Roman" w:cs="Times New Roman"/>
          <w:szCs w:val="24"/>
        </w:rPr>
        <w:t xml:space="preserve">projektu ustawa określa zasady </w:t>
      </w:r>
      <w:r w:rsidR="00126B59" w:rsidRPr="004E0F02">
        <w:rPr>
          <w:rFonts w:eastAsia="Times New Roman" w:cs="Times New Roman"/>
          <w:szCs w:val="24"/>
        </w:rPr>
        <w:t xml:space="preserve">otwartości </w:t>
      </w:r>
      <w:r w:rsidRPr="004E0F02">
        <w:rPr>
          <w:rFonts w:eastAsia="Times New Roman" w:cs="Times New Roman"/>
          <w:szCs w:val="24"/>
        </w:rPr>
        <w:t>danych</w:t>
      </w:r>
      <w:r w:rsidR="00B71FF9" w:rsidRPr="004E0F02">
        <w:rPr>
          <w:rFonts w:eastAsia="Times New Roman" w:cs="Times New Roman"/>
          <w:szCs w:val="24"/>
        </w:rPr>
        <w:t>,</w:t>
      </w:r>
      <w:r w:rsidRPr="004E0F02">
        <w:rPr>
          <w:rFonts w:eastAsia="Times New Roman" w:cs="Times New Roman"/>
          <w:szCs w:val="24"/>
        </w:rPr>
        <w:t xml:space="preserve"> zasady</w:t>
      </w:r>
      <w:r w:rsidR="00E45B1D" w:rsidRPr="004E0F02">
        <w:rPr>
          <w:rFonts w:eastAsia="Times New Roman" w:cs="Times New Roman"/>
          <w:szCs w:val="24"/>
        </w:rPr>
        <w:t xml:space="preserve"> i </w:t>
      </w:r>
      <w:r w:rsidRPr="004E0F02">
        <w:rPr>
          <w:rFonts w:eastAsia="Times New Roman" w:cs="Times New Roman"/>
          <w:szCs w:val="24"/>
        </w:rPr>
        <w:t>tryb udostępniania i przekazywania informacji sektora publicznego</w:t>
      </w:r>
      <w:r w:rsidR="00E45B1D" w:rsidRPr="004E0F02">
        <w:rPr>
          <w:rFonts w:eastAsia="Times New Roman" w:cs="Times New Roman"/>
          <w:szCs w:val="24"/>
        </w:rPr>
        <w:t xml:space="preserve"> w </w:t>
      </w:r>
      <w:r w:rsidRPr="004E0F02">
        <w:rPr>
          <w:rFonts w:eastAsia="Times New Roman" w:cs="Times New Roman"/>
          <w:szCs w:val="24"/>
        </w:rPr>
        <w:t xml:space="preserve">celu ponownego wykorzystywania </w:t>
      </w:r>
      <w:r w:rsidR="00B71FF9" w:rsidRPr="004E0F02">
        <w:rPr>
          <w:rFonts w:eastAsia="Times New Roman" w:cs="Times New Roman"/>
          <w:szCs w:val="24"/>
        </w:rPr>
        <w:t xml:space="preserve">oraz </w:t>
      </w:r>
      <w:r w:rsidRPr="004E0F02">
        <w:rPr>
          <w:rFonts w:eastAsia="Times New Roman" w:cs="Times New Roman"/>
          <w:szCs w:val="24"/>
        </w:rPr>
        <w:t>podmioty, które udostępniają lub przekazują te informacje (podmioty zobowiązane).</w:t>
      </w:r>
    </w:p>
    <w:p w14:paraId="39A030A7" w14:textId="77777777" w:rsidR="00A42682" w:rsidRPr="004E0F02" w:rsidRDefault="00A42682" w:rsidP="00A42682">
      <w:pPr>
        <w:widowControl/>
        <w:spacing w:before="240" w:after="120" w:line="276" w:lineRule="auto"/>
        <w:jc w:val="both"/>
        <w:rPr>
          <w:rFonts w:eastAsia="Times New Roman" w:cs="Times New Roman"/>
          <w:szCs w:val="24"/>
        </w:rPr>
      </w:pPr>
      <w:r w:rsidRPr="004E0F02">
        <w:rPr>
          <w:rFonts w:eastAsia="Times New Roman" w:cs="Times New Roman"/>
          <w:szCs w:val="24"/>
        </w:rPr>
        <w:t>Słowniczek ustawowy.</w:t>
      </w:r>
    </w:p>
    <w:p w14:paraId="51774A70" w14:textId="5DCC5A5B"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W</w:t>
      </w:r>
      <w:r w:rsidR="00E45B1D" w:rsidRPr="004E0F02">
        <w:rPr>
          <w:rFonts w:eastAsia="Times New Roman" w:cs="Times New Roman"/>
          <w:szCs w:val="24"/>
        </w:rPr>
        <w:t xml:space="preserve"> art. 2 </w:t>
      </w:r>
      <w:r w:rsidRPr="004E0F02">
        <w:rPr>
          <w:rFonts w:eastAsia="Times New Roman" w:cs="Times New Roman"/>
          <w:szCs w:val="24"/>
        </w:rPr>
        <w:t>projektu ustawy wprowadzono słowniczek ustawowy,</w:t>
      </w:r>
      <w:r w:rsidR="00E45B1D" w:rsidRPr="004E0F02">
        <w:rPr>
          <w:rFonts w:eastAsia="Times New Roman" w:cs="Times New Roman"/>
          <w:szCs w:val="24"/>
        </w:rPr>
        <w:t xml:space="preserve"> w </w:t>
      </w:r>
      <w:r w:rsidRPr="004E0F02">
        <w:rPr>
          <w:rFonts w:eastAsia="Times New Roman" w:cs="Times New Roman"/>
          <w:szCs w:val="24"/>
        </w:rPr>
        <w:t>którym zawarte zostały definicje sformułowane już na gruncie ustawy</w:t>
      </w:r>
      <w:r w:rsidR="00E45B1D" w:rsidRPr="004E0F02">
        <w:rPr>
          <w:rFonts w:eastAsia="Times New Roman" w:cs="Times New Roman"/>
          <w:szCs w:val="24"/>
        </w:rPr>
        <w:t xml:space="preserve"> z </w:t>
      </w:r>
      <w:r w:rsidRPr="004E0F02">
        <w:rPr>
          <w:rFonts w:eastAsia="Times New Roman" w:cs="Times New Roman"/>
          <w:szCs w:val="24"/>
        </w:rPr>
        <w:t>201</w:t>
      </w:r>
      <w:r w:rsidR="00E45B1D" w:rsidRPr="004E0F02">
        <w:rPr>
          <w:rFonts w:eastAsia="Times New Roman" w:cs="Times New Roman"/>
          <w:szCs w:val="24"/>
        </w:rPr>
        <w:t>6 </w:t>
      </w:r>
      <w:r w:rsidRPr="004E0F02">
        <w:rPr>
          <w:rFonts w:eastAsia="Times New Roman" w:cs="Times New Roman"/>
          <w:szCs w:val="24"/>
        </w:rPr>
        <w:t>r. oraz nowozdefiniowane pojęcia. Celem wprowadzenia do projektu ustawy słowniczka jest usystematyzowanie struktury pojęciowej regulacji ponownego wykorzystywania, uzupełnienia jej</w:t>
      </w:r>
      <w:r w:rsidR="00E45B1D" w:rsidRPr="004E0F02">
        <w:rPr>
          <w:rFonts w:eastAsia="Times New Roman" w:cs="Times New Roman"/>
          <w:szCs w:val="24"/>
        </w:rPr>
        <w:t xml:space="preserve"> o </w:t>
      </w:r>
      <w:r w:rsidRPr="004E0F02">
        <w:rPr>
          <w:rFonts w:eastAsia="Times New Roman" w:cs="Times New Roman"/>
          <w:szCs w:val="24"/>
        </w:rPr>
        <w:t>nowe definicje oraz dostosowania niektórych z dotychczasowych pojęć do przepisów dyrektywy 2019/1024/UE.</w:t>
      </w:r>
    </w:p>
    <w:p w14:paraId="686F875F"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Anonimizacja.</w:t>
      </w:r>
    </w:p>
    <w:p w14:paraId="19A93BCE" w14:textId="4D0D3FA6" w:rsidR="00A42682" w:rsidRPr="004E0F02" w:rsidRDefault="00A42682" w:rsidP="00A42682">
      <w:pPr>
        <w:widowControl/>
        <w:spacing w:after="120" w:line="276" w:lineRule="auto"/>
        <w:ind w:left="360"/>
        <w:jc w:val="both"/>
        <w:rPr>
          <w:rFonts w:eastAsia="Times New Roman" w:cs="Times New Roman"/>
          <w:bCs/>
          <w:szCs w:val="24"/>
        </w:rPr>
      </w:pPr>
      <w:r w:rsidRPr="004E0F02">
        <w:rPr>
          <w:rFonts w:eastAsia="Times New Roman" w:cs="Times New Roman"/>
          <w:bCs/>
          <w:szCs w:val="24"/>
        </w:rPr>
        <w:t>Pod pojęciem anonimizacji zdefiniowanym</w:t>
      </w:r>
      <w:r w:rsidR="00E45B1D" w:rsidRPr="004E0F02">
        <w:rPr>
          <w:rFonts w:eastAsia="Times New Roman" w:cs="Times New Roman"/>
          <w:bCs/>
          <w:szCs w:val="24"/>
        </w:rPr>
        <w:t xml:space="preserve"> w art. 2 pkt 1 </w:t>
      </w:r>
      <w:r w:rsidRPr="004E0F02">
        <w:rPr>
          <w:rFonts w:eastAsia="Times New Roman" w:cs="Times New Roman"/>
          <w:bCs/>
          <w:szCs w:val="24"/>
        </w:rPr>
        <w:t xml:space="preserve">projektu ustawy rozumie się proces zmiany informacji sektora publicznego </w:t>
      </w:r>
      <w:r w:rsidR="00E45B1D" w:rsidRPr="004E0F02">
        <w:rPr>
          <w:rFonts w:eastAsia="Times New Roman" w:cs="Times New Roman"/>
          <w:bCs/>
          <w:szCs w:val="24"/>
        </w:rPr>
        <w:t>w </w:t>
      </w:r>
      <w:r w:rsidRPr="004E0F02">
        <w:rPr>
          <w:rFonts w:eastAsia="Times New Roman" w:cs="Times New Roman"/>
          <w:bCs/>
          <w:szCs w:val="24"/>
        </w:rPr>
        <w:t>informacje anonimowe, które nie odnoszą się do zidentyfikowanej lub możliwej do zidentyfikowania osoby fizycznej, lub dane osobowe zanonimizowane</w:t>
      </w:r>
      <w:r w:rsidR="00E45B1D" w:rsidRPr="004E0F02">
        <w:rPr>
          <w:rFonts w:eastAsia="Times New Roman" w:cs="Times New Roman"/>
          <w:bCs/>
          <w:szCs w:val="24"/>
        </w:rPr>
        <w:t xml:space="preserve"> w </w:t>
      </w:r>
      <w:r w:rsidRPr="004E0F02">
        <w:rPr>
          <w:rFonts w:eastAsia="Times New Roman" w:cs="Times New Roman"/>
          <w:bCs/>
          <w:szCs w:val="24"/>
        </w:rPr>
        <w:t xml:space="preserve">taki sposób, że identyfikacja osoby, której dane dotyczą, nie jest </w:t>
      </w:r>
      <w:r w:rsidR="00B71FF9" w:rsidRPr="004E0F02">
        <w:rPr>
          <w:rFonts w:eastAsia="Times New Roman" w:cs="Times New Roman"/>
          <w:bCs/>
          <w:szCs w:val="24"/>
        </w:rPr>
        <w:t xml:space="preserve">lub już nie jest </w:t>
      </w:r>
      <w:r w:rsidRPr="004E0F02">
        <w:rPr>
          <w:rFonts w:eastAsia="Times New Roman" w:cs="Times New Roman"/>
          <w:bCs/>
          <w:szCs w:val="24"/>
        </w:rPr>
        <w:t>możliwa. Definicję ustawową oparto na</w:t>
      </w:r>
      <w:r w:rsidR="00E45B1D" w:rsidRPr="004E0F02">
        <w:rPr>
          <w:rFonts w:eastAsia="Times New Roman" w:cs="Times New Roman"/>
          <w:bCs/>
          <w:szCs w:val="24"/>
        </w:rPr>
        <w:t xml:space="preserve"> art. 2 pkt 7 </w:t>
      </w:r>
      <w:r w:rsidRPr="004E0F02">
        <w:rPr>
          <w:rFonts w:eastAsia="Times New Roman" w:cs="Times New Roman"/>
          <w:bCs/>
          <w:szCs w:val="24"/>
        </w:rPr>
        <w:t>dyrektywy 2019/1024/UE zgodnie,</w:t>
      </w:r>
      <w:r w:rsidR="00E45B1D" w:rsidRPr="004E0F02">
        <w:rPr>
          <w:rFonts w:eastAsia="Times New Roman" w:cs="Times New Roman"/>
          <w:bCs/>
          <w:szCs w:val="24"/>
        </w:rPr>
        <w:t xml:space="preserve"> z </w:t>
      </w:r>
      <w:r w:rsidRPr="004E0F02">
        <w:rPr>
          <w:rFonts w:eastAsia="Times New Roman" w:cs="Times New Roman"/>
          <w:bCs/>
          <w:szCs w:val="24"/>
        </w:rPr>
        <w:t>którym anonimizacja oznacza proces zmiany dokumentów w</w:t>
      </w:r>
      <w:r w:rsidR="00126B59" w:rsidRPr="004E0F02">
        <w:rPr>
          <w:rFonts w:eastAsia="Times New Roman" w:cs="Times New Roman"/>
          <w:bCs/>
          <w:szCs w:val="24"/>
        </w:rPr>
        <w:t> </w:t>
      </w:r>
      <w:r w:rsidRPr="004E0F02">
        <w:rPr>
          <w:rFonts w:eastAsia="Times New Roman" w:cs="Times New Roman"/>
          <w:bCs/>
          <w:szCs w:val="24"/>
        </w:rPr>
        <w:t>informacje anonimowe, które nie odnoszą się do zidentyfikowanej lub możliwej do</w:t>
      </w:r>
      <w:r w:rsidR="00126B59" w:rsidRPr="004E0F02">
        <w:rPr>
          <w:rFonts w:eastAsia="Times New Roman" w:cs="Times New Roman"/>
          <w:bCs/>
          <w:szCs w:val="24"/>
        </w:rPr>
        <w:t> </w:t>
      </w:r>
      <w:r w:rsidRPr="004E0F02">
        <w:rPr>
          <w:rFonts w:eastAsia="Times New Roman" w:cs="Times New Roman"/>
          <w:bCs/>
          <w:szCs w:val="24"/>
        </w:rPr>
        <w:t>zidentyfikowania osoby fizycznej, lub dane osobowe zanonimizowane</w:t>
      </w:r>
      <w:r w:rsidR="00E45B1D" w:rsidRPr="004E0F02">
        <w:rPr>
          <w:rFonts w:eastAsia="Times New Roman" w:cs="Times New Roman"/>
          <w:bCs/>
          <w:szCs w:val="24"/>
        </w:rPr>
        <w:t xml:space="preserve"> w </w:t>
      </w:r>
      <w:r w:rsidRPr="004E0F02">
        <w:rPr>
          <w:rFonts w:eastAsia="Times New Roman" w:cs="Times New Roman"/>
          <w:bCs/>
          <w:szCs w:val="24"/>
        </w:rPr>
        <w:t>taki sposób, że</w:t>
      </w:r>
      <w:r w:rsidR="00921136" w:rsidRPr="004E0F02">
        <w:rPr>
          <w:rFonts w:eastAsia="Times New Roman" w:cs="Times New Roman"/>
          <w:bCs/>
          <w:szCs w:val="24"/>
        </w:rPr>
        <w:t> </w:t>
      </w:r>
      <w:r w:rsidRPr="004E0F02">
        <w:rPr>
          <w:rFonts w:eastAsia="Times New Roman" w:cs="Times New Roman"/>
          <w:bCs/>
          <w:szCs w:val="24"/>
        </w:rPr>
        <w:t>identyfikacja osoby, której dane dotyczą, nie jest lub już nie jest możliwa</w:t>
      </w:r>
      <w:r w:rsidR="00126B59" w:rsidRPr="004E0F02">
        <w:rPr>
          <w:rFonts w:eastAsia="Times New Roman" w:cs="Times New Roman"/>
          <w:bCs/>
          <w:szCs w:val="24"/>
        </w:rPr>
        <w:t>.</w:t>
      </w:r>
    </w:p>
    <w:p w14:paraId="00F826A4" w14:textId="1048C9B0" w:rsidR="00E81962" w:rsidRPr="004E0F02" w:rsidRDefault="00E81962" w:rsidP="00E81962">
      <w:pPr>
        <w:widowControl/>
        <w:spacing w:after="120" w:line="276" w:lineRule="auto"/>
        <w:ind w:left="360"/>
        <w:jc w:val="both"/>
        <w:rPr>
          <w:rFonts w:eastAsia="Times New Roman" w:cs="Times New Roman"/>
          <w:bCs/>
          <w:szCs w:val="24"/>
        </w:rPr>
      </w:pPr>
      <w:r w:rsidRPr="004E0F02">
        <w:rPr>
          <w:rFonts w:eastAsia="Times New Roman" w:cs="Times New Roman"/>
          <w:bCs/>
          <w:szCs w:val="24"/>
        </w:rPr>
        <w:t xml:space="preserve">Anonimizację danych należy przeprowadzić wówczas kiedy informacje sektora publicznego nie mogą być przekazane z uwagi na ograniczenie ze względu na ochronę danych osobowych (brak podstaw legalizujących przetwarzanie). W tym zakresie </w:t>
      </w:r>
      <w:r w:rsidRPr="004E0F02">
        <w:rPr>
          <w:rFonts w:eastAsia="Times New Roman" w:cs="Times New Roman"/>
          <w:bCs/>
          <w:szCs w:val="24"/>
        </w:rPr>
        <w:lastRenderedPageBreak/>
        <w:t>opracowany został Standard bezpieczeństwa</w:t>
      </w:r>
      <w:r w:rsidRPr="004E0F02">
        <w:rPr>
          <w:rStyle w:val="Odwoanieprzypisudolnego"/>
          <w:rFonts w:eastAsia="Times New Roman"/>
          <w:bCs/>
          <w:szCs w:val="24"/>
        </w:rPr>
        <w:footnoteReference w:id="21"/>
      </w:r>
      <w:r w:rsidR="00C74BD9" w:rsidRPr="004E0F02">
        <w:rPr>
          <w:rFonts w:eastAsia="Times New Roman" w:cs="Times New Roman"/>
          <w:bCs/>
          <w:szCs w:val="24"/>
          <w:vertAlign w:val="superscript"/>
        </w:rPr>
        <w:t>)</w:t>
      </w:r>
      <w:r w:rsidRPr="004E0F02">
        <w:rPr>
          <w:rFonts w:eastAsia="Times New Roman" w:cs="Times New Roman"/>
          <w:bCs/>
          <w:szCs w:val="24"/>
        </w:rPr>
        <w:t>, zbiór zaleceń dotyczących bezpieczeństwa otwierania danych publicznych. Dokument ten służy zapewnieniu odpowiedniego poziomu bezpieczeństwa w procesach otwierania danych przez podmioty publiczne. Standard ten obejmuje m.in.: minimalne czynności dotyczące udostępniania danych do ponownego wykorzystywania, grupy danych podlegające nieograniczonemu ponownemu wykorzystywaniu, dane podlegające anonimizacji i pseudonimizacji oraz sposoby doboru technik. Planuje się, że Standard bezpieczeństwa będzie zalecany do stosowania w Programie otwierania danych na lata 2021-2027.</w:t>
      </w:r>
    </w:p>
    <w:p w14:paraId="23F3A05E" w14:textId="3299A63D" w:rsidR="00E81962" w:rsidRPr="004E0F02" w:rsidRDefault="00E81962" w:rsidP="00E81962">
      <w:pPr>
        <w:widowControl/>
        <w:spacing w:after="120" w:line="276" w:lineRule="auto"/>
        <w:ind w:left="360"/>
        <w:jc w:val="both"/>
        <w:rPr>
          <w:rFonts w:eastAsia="Times New Roman" w:cs="Times New Roman"/>
          <w:bCs/>
          <w:szCs w:val="24"/>
        </w:rPr>
      </w:pPr>
      <w:r w:rsidRPr="004E0F02">
        <w:rPr>
          <w:rFonts w:eastAsia="Times New Roman" w:cs="Times New Roman"/>
          <w:bCs/>
          <w:szCs w:val="24"/>
        </w:rPr>
        <w:t>Dodatkowo podmioty zobowiązane mogą stosować wytyczne dotyczące technik anonimizacji zawarte w Opinii Grupy Roboczej Art. 29 05/2014 z dnia 10 kwietnia 2014 r. w sprawie technik anonimizacji</w:t>
      </w:r>
      <w:r w:rsidRPr="004E0F02">
        <w:rPr>
          <w:rStyle w:val="Odwoanieprzypisudolnego"/>
          <w:rFonts w:eastAsia="Times New Roman"/>
          <w:bCs/>
          <w:szCs w:val="24"/>
        </w:rPr>
        <w:footnoteReference w:id="22"/>
      </w:r>
      <w:r w:rsidR="00C74BD9" w:rsidRPr="004E0F02">
        <w:rPr>
          <w:rFonts w:eastAsia="Times New Roman" w:cs="Times New Roman"/>
          <w:bCs/>
          <w:szCs w:val="24"/>
          <w:vertAlign w:val="superscript"/>
        </w:rPr>
        <w:t>)</w:t>
      </w:r>
      <w:r w:rsidRPr="004E0F02">
        <w:rPr>
          <w:rFonts w:eastAsia="Times New Roman" w:cs="Times New Roman"/>
          <w:bCs/>
          <w:szCs w:val="24"/>
        </w:rPr>
        <w:t>. Odmowa przekazania jakichkolwiek danych jest ostatecznością, np. wniosek obejmuje przekazanie wyłącznie danych osobowych, wówczas depersonalizacja danych powoduje, że przekazanie danych jest bezcelowe, nie ma jakiejkolwiek wartości informacyjnej.</w:t>
      </w:r>
    </w:p>
    <w:p w14:paraId="0C67FDB8"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Dane badawcze.</w:t>
      </w:r>
    </w:p>
    <w:p w14:paraId="0C7D31F2" w14:textId="79359B08" w:rsidR="00A42682" w:rsidRPr="004E0F02" w:rsidRDefault="00A42682" w:rsidP="00A42682">
      <w:pPr>
        <w:widowControl/>
        <w:spacing w:after="120" w:line="276" w:lineRule="auto"/>
        <w:ind w:left="360"/>
        <w:jc w:val="both"/>
        <w:rPr>
          <w:rFonts w:eastAsia="Times New Roman" w:cs="Times New Roman"/>
          <w:bCs/>
          <w:szCs w:val="24"/>
        </w:rPr>
      </w:pPr>
      <w:r w:rsidRPr="004E0F02">
        <w:rPr>
          <w:rFonts w:eastAsia="Times New Roman" w:cs="Times New Roman"/>
          <w:bCs/>
          <w:szCs w:val="24"/>
        </w:rPr>
        <w:t xml:space="preserve">Dane badawcze oznaczają informacje sektora publicznego </w:t>
      </w:r>
      <w:r w:rsidR="00B71FF9" w:rsidRPr="004E0F02">
        <w:rPr>
          <w:rFonts w:eastAsia="Times New Roman" w:cs="Times New Roman"/>
          <w:bCs/>
          <w:szCs w:val="24"/>
        </w:rPr>
        <w:t xml:space="preserve">utrwalone </w:t>
      </w:r>
      <w:r w:rsidR="00E45B1D" w:rsidRPr="004E0F02">
        <w:rPr>
          <w:rFonts w:eastAsia="Times New Roman" w:cs="Times New Roman"/>
          <w:bCs/>
          <w:szCs w:val="24"/>
        </w:rPr>
        <w:t>w </w:t>
      </w:r>
      <w:r w:rsidRPr="004E0F02">
        <w:rPr>
          <w:rFonts w:eastAsia="Times New Roman" w:cs="Times New Roman"/>
          <w:bCs/>
          <w:szCs w:val="24"/>
        </w:rPr>
        <w:t xml:space="preserve">postaci elektronicznej, inne niż publikacje naukowe, </w:t>
      </w:r>
      <w:r w:rsidR="00B71FF9" w:rsidRPr="004E0F02">
        <w:rPr>
          <w:rFonts w:eastAsia="Times New Roman" w:cs="Times New Roman"/>
          <w:bCs/>
          <w:szCs w:val="24"/>
        </w:rPr>
        <w:t xml:space="preserve">które zostały </w:t>
      </w:r>
      <w:r w:rsidRPr="004E0F02">
        <w:rPr>
          <w:rFonts w:eastAsia="Times New Roman" w:cs="Times New Roman"/>
          <w:bCs/>
          <w:szCs w:val="24"/>
        </w:rPr>
        <w:t>wytworzone</w:t>
      </w:r>
      <w:r w:rsidR="00E45B1D" w:rsidRPr="004E0F02">
        <w:rPr>
          <w:rFonts w:eastAsia="Times New Roman" w:cs="Times New Roman"/>
          <w:bCs/>
          <w:szCs w:val="24"/>
        </w:rPr>
        <w:t xml:space="preserve"> </w:t>
      </w:r>
      <w:r w:rsidR="00BD21BF" w:rsidRPr="004E0F02">
        <w:rPr>
          <w:rFonts w:eastAsia="Times New Roman" w:cs="Times New Roman"/>
          <w:bCs/>
          <w:szCs w:val="24"/>
        </w:rPr>
        <w:t>lub zgro</w:t>
      </w:r>
      <w:r w:rsidR="00B71FF9" w:rsidRPr="004E0F02">
        <w:rPr>
          <w:rFonts w:eastAsia="Times New Roman" w:cs="Times New Roman"/>
          <w:bCs/>
          <w:szCs w:val="24"/>
        </w:rPr>
        <w:t xml:space="preserve">madzone </w:t>
      </w:r>
      <w:r w:rsidR="00E45B1D" w:rsidRPr="004E0F02">
        <w:rPr>
          <w:rFonts w:eastAsia="Times New Roman" w:cs="Times New Roman"/>
          <w:bCs/>
          <w:szCs w:val="24"/>
        </w:rPr>
        <w:t>w </w:t>
      </w:r>
      <w:r w:rsidRPr="004E0F02">
        <w:rPr>
          <w:rFonts w:eastAsia="Times New Roman" w:cs="Times New Roman"/>
          <w:bCs/>
          <w:szCs w:val="24"/>
        </w:rPr>
        <w:t>ramach działalności naukowej</w:t>
      </w:r>
      <w:r w:rsidR="00E45B1D" w:rsidRPr="004E0F02">
        <w:rPr>
          <w:rFonts w:eastAsia="Times New Roman" w:cs="Times New Roman"/>
          <w:bCs/>
          <w:szCs w:val="24"/>
        </w:rPr>
        <w:t xml:space="preserve"> w </w:t>
      </w:r>
      <w:r w:rsidRPr="004E0F02">
        <w:rPr>
          <w:rFonts w:eastAsia="Times New Roman" w:cs="Times New Roman"/>
          <w:bCs/>
          <w:szCs w:val="24"/>
        </w:rPr>
        <w:t xml:space="preserve"> rozumieniu</w:t>
      </w:r>
      <w:r w:rsidR="00E45B1D" w:rsidRPr="004E0F02">
        <w:rPr>
          <w:rFonts w:eastAsia="Times New Roman" w:cs="Times New Roman"/>
          <w:bCs/>
          <w:szCs w:val="24"/>
        </w:rPr>
        <w:t xml:space="preserve"> art. 4 </w:t>
      </w:r>
      <w:r w:rsidR="007B7C1D" w:rsidRPr="004E0F02">
        <w:rPr>
          <w:rFonts w:eastAsia="Times New Roman" w:cs="Times New Roman"/>
          <w:bCs/>
          <w:szCs w:val="24"/>
        </w:rPr>
        <w:t xml:space="preserve"> </w:t>
      </w:r>
      <w:r w:rsidRPr="004E0F02">
        <w:rPr>
          <w:rFonts w:eastAsia="Times New Roman" w:cs="Times New Roman"/>
          <w:bCs/>
          <w:szCs w:val="24"/>
        </w:rPr>
        <w:t>ustawy</w:t>
      </w:r>
      <w:r w:rsidR="00BD21BF" w:rsidRPr="004E0F02">
        <w:rPr>
          <w:rFonts w:eastAsia="Times New Roman" w:cs="Times New Roman"/>
          <w:bCs/>
          <w:szCs w:val="24"/>
        </w:rPr>
        <w:t xml:space="preserve"> z dnia 20 lipca 2018 r. – Prawo o szkolnictwie wyższym i nauce (Dz. U. z 2020 r. poz. 85, z późn. zm.) i</w:t>
      </w:r>
      <w:r w:rsidRPr="004E0F02">
        <w:rPr>
          <w:rFonts w:eastAsia="Times New Roman" w:cs="Times New Roman"/>
          <w:bCs/>
          <w:szCs w:val="24"/>
        </w:rPr>
        <w:t xml:space="preserve"> są wykorzystywane jako dowody</w:t>
      </w:r>
      <w:r w:rsidR="00E45B1D" w:rsidRPr="004E0F02">
        <w:rPr>
          <w:rFonts w:eastAsia="Times New Roman" w:cs="Times New Roman"/>
          <w:bCs/>
          <w:szCs w:val="24"/>
        </w:rPr>
        <w:t xml:space="preserve"> w </w:t>
      </w:r>
      <w:r w:rsidRPr="004E0F02">
        <w:rPr>
          <w:rFonts w:eastAsia="Times New Roman" w:cs="Times New Roman"/>
          <w:bCs/>
          <w:szCs w:val="24"/>
        </w:rPr>
        <w:t>procesie badawczym lub służą weryfikacji poprawności ustaleń</w:t>
      </w:r>
      <w:r w:rsidR="00E45B1D" w:rsidRPr="004E0F02">
        <w:rPr>
          <w:rFonts w:eastAsia="Times New Roman" w:cs="Times New Roman"/>
          <w:bCs/>
          <w:szCs w:val="24"/>
        </w:rPr>
        <w:t xml:space="preserve"> i </w:t>
      </w:r>
      <w:r w:rsidRPr="004E0F02">
        <w:rPr>
          <w:rFonts w:eastAsia="Times New Roman" w:cs="Times New Roman"/>
          <w:bCs/>
          <w:szCs w:val="24"/>
        </w:rPr>
        <w:t>wyników badań</w:t>
      </w:r>
      <w:r w:rsidR="00BD21BF" w:rsidRPr="004E0F02">
        <w:rPr>
          <w:rFonts w:eastAsia="Times New Roman" w:cs="Times New Roman"/>
          <w:bCs/>
          <w:szCs w:val="24"/>
        </w:rPr>
        <w:t>.</w:t>
      </w:r>
      <w:r w:rsidRPr="004E0F02">
        <w:rPr>
          <w:rFonts w:eastAsia="Times New Roman" w:cs="Times New Roman"/>
          <w:bCs/>
          <w:szCs w:val="24"/>
        </w:rPr>
        <w:t>. Definicja danych badawczych zaproponowana</w:t>
      </w:r>
      <w:r w:rsidR="00E45B1D" w:rsidRPr="004E0F02">
        <w:rPr>
          <w:rFonts w:eastAsia="Times New Roman" w:cs="Times New Roman"/>
          <w:bCs/>
          <w:szCs w:val="24"/>
        </w:rPr>
        <w:t xml:space="preserve"> w </w:t>
      </w:r>
      <w:r w:rsidRPr="004E0F02">
        <w:rPr>
          <w:rFonts w:eastAsia="Times New Roman" w:cs="Times New Roman"/>
          <w:bCs/>
          <w:szCs w:val="24"/>
        </w:rPr>
        <w:t>projekcie ustawy stanowi odzwierciedlenie definicji wprowadzonej na gruncie dyrektywy 2019/1024/UE. Z</w:t>
      </w:r>
      <w:r w:rsidR="00D14F83" w:rsidRPr="004E0F02">
        <w:rPr>
          <w:rFonts w:eastAsia="Times New Roman" w:cs="Times New Roman"/>
          <w:bCs/>
          <w:szCs w:val="24"/>
        </w:rPr>
        <w:t>godnie</w:t>
      </w:r>
      <w:r w:rsidR="00E45B1D" w:rsidRPr="004E0F02">
        <w:rPr>
          <w:rFonts w:eastAsia="Times New Roman" w:cs="Times New Roman"/>
          <w:bCs/>
          <w:szCs w:val="24"/>
        </w:rPr>
        <w:t xml:space="preserve"> z art. 2 pkt 9 </w:t>
      </w:r>
      <w:r w:rsidRPr="004E0F02">
        <w:rPr>
          <w:rFonts w:eastAsia="Times New Roman" w:cs="Times New Roman"/>
          <w:bCs/>
          <w:szCs w:val="24"/>
        </w:rPr>
        <w:t>dyrektywy przez dane badawcze należy rozumieć  dokumenty</w:t>
      </w:r>
      <w:r w:rsidR="00E45B1D" w:rsidRPr="004E0F02">
        <w:rPr>
          <w:rFonts w:eastAsia="Times New Roman" w:cs="Times New Roman"/>
          <w:bCs/>
          <w:szCs w:val="24"/>
        </w:rPr>
        <w:t xml:space="preserve"> w </w:t>
      </w:r>
      <w:r w:rsidRPr="004E0F02">
        <w:rPr>
          <w:rFonts w:eastAsia="Times New Roman" w:cs="Times New Roman"/>
          <w:bCs/>
          <w:szCs w:val="24"/>
        </w:rPr>
        <w:t>formie cyfrowej, inne niż publikacje naukowe, które są gromadzone lub produkowane</w:t>
      </w:r>
      <w:r w:rsidR="00E45B1D" w:rsidRPr="004E0F02">
        <w:rPr>
          <w:rFonts w:eastAsia="Times New Roman" w:cs="Times New Roman"/>
          <w:bCs/>
          <w:szCs w:val="24"/>
        </w:rPr>
        <w:t xml:space="preserve"> w </w:t>
      </w:r>
      <w:r w:rsidRPr="004E0F02">
        <w:rPr>
          <w:rFonts w:eastAsia="Times New Roman" w:cs="Times New Roman"/>
          <w:bCs/>
          <w:szCs w:val="24"/>
        </w:rPr>
        <w:t>ramach działalności badawczo</w:t>
      </w:r>
      <w:r w:rsidR="00E45B1D" w:rsidRPr="004E0F02">
        <w:rPr>
          <w:rFonts w:eastAsia="Times New Roman" w:cs="Times New Roman"/>
          <w:bCs/>
          <w:szCs w:val="24"/>
        </w:rPr>
        <w:softHyphen/>
      </w:r>
      <w:r w:rsidR="00E45B1D" w:rsidRPr="004E0F02">
        <w:rPr>
          <w:rFonts w:eastAsia="Times New Roman" w:cs="Times New Roman"/>
          <w:bCs/>
          <w:szCs w:val="24"/>
        </w:rPr>
        <w:noBreakHyphen/>
      </w:r>
      <w:r w:rsidRPr="004E0F02">
        <w:rPr>
          <w:rFonts w:eastAsia="Times New Roman" w:cs="Times New Roman"/>
          <w:bCs/>
          <w:szCs w:val="24"/>
        </w:rPr>
        <w:t>naukowej</w:t>
      </w:r>
      <w:r w:rsidR="00E45B1D" w:rsidRPr="004E0F02">
        <w:rPr>
          <w:rFonts w:eastAsia="Times New Roman" w:cs="Times New Roman"/>
          <w:bCs/>
          <w:szCs w:val="24"/>
        </w:rPr>
        <w:t xml:space="preserve"> i </w:t>
      </w:r>
      <w:r w:rsidRPr="004E0F02">
        <w:rPr>
          <w:rFonts w:eastAsia="Times New Roman" w:cs="Times New Roman"/>
          <w:bCs/>
          <w:szCs w:val="24"/>
        </w:rPr>
        <w:t>są wykorzystywane jako dowody</w:t>
      </w:r>
      <w:r w:rsidR="00E45B1D" w:rsidRPr="004E0F02">
        <w:rPr>
          <w:rFonts w:eastAsia="Times New Roman" w:cs="Times New Roman"/>
          <w:bCs/>
          <w:szCs w:val="24"/>
        </w:rPr>
        <w:t xml:space="preserve"> w </w:t>
      </w:r>
      <w:r w:rsidRPr="004E0F02">
        <w:rPr>
          <w:rFonts w:eastAsia="Times New Roman" w:cs="Times New Roman"/>
          <w:bCs/>
          <w:szCs w:val="24"/>
        </w:rPr>
        <w:t>procesie badawczym bądź też są powszechnie akceptowane</w:t>
      </w:r>
      <w:r w:rsidR="00E45B1D" w:rsidRPr="004E0F02">
        <w:rPr>
          <w:rFonts w:eastAsia="Times New Roman" w:cs="Times New Roman"/>
          <w:bCs/>
          <w:szCs w:val="24"/>
        </w:rPr>
        <w:t xml:space="preserve"> w </w:t>
      </w:r>
      <w:r w:rsidRPr="004E0F02">
        <w:rPr>
          <w:rFonts w:eastAsia="Times New Roman" w:cs="Times New Roman"/>
          <w:bCs/>
          <w:szCs w:val="24"/>
        </w:rPr>
        <w:t>środowisku naukowym jako konieczne do weryfikacji poprawności ustaleń</w:t>
      </w:r>
      <w:r w:rsidR="00E45B1D" w:rsidRPr="004E0F02">
        <w:rPr>
          <w:rFonts w:eastAsia="Times New Roman" w:cs="Times New Roman"/>
          <w:bCs/>
          <w:szCs w:val="24"/>
        </w:rPr>
        <w:t xml:space="preserve"> i </w:t>
      </w:r>
      <w:r w:rsidRPr="004E0F02">
        <w:rPr>
          <w:rFonts w:eastAsia="Times New Roman" w:cs="Times New Roman"/>
          <w:bCs/>
          <w:szCs w:val="24"/>
        </w:rPr>
        <w:t>wyników badań</w:t>
      </w:r>
      <w:r w:rsidR="00126B59" w:rsidRPr="004E0F02">
        <w:rPr>
          <w:rFonts w:eastAsia="Times New Roman" w:cs="Times New Roman"/>
          <w:bCs/>
          <w:szCs w:val="24"/>
        </w:rPr>
        <w:t>.</w:t>
      </w:r>
    </w:p>
    <w:p w14:paraId="39F1C9EF"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Dane dynamiczne.</w:t>
      </w:r>
    </w:p>
    <w:p w14:paraId="0BDCB86F" w14:textId="6A85A9A1" w:rsidR="00A42682" w:rsidRPr="004E0F02" w:rsidRDefault="00A42682" w:rsidP="00A42682">
      <w:pPr>
        <w:widowControl/>
        <w:spacing w:after="120" w:line="276" w:lineRule="auto"/>
        <w:ind w:left="360"/>
        <w:jc w:val="both"/>
        <w:rPr>
          <w:rFonts w:eastAsia="Times New Roman" w:cs="Times New Roman"/>
          <w:bCs/>
          <w:szCs w:val="24"/>
        </w:rPr>
      </w:pPr>
      <w:r w:rsidRPr="004E0F02">
        <w:rPr>
          <w:rFonts w:eastAsia="Times New Roman" w:cs="Times New Roman"/>
          <w:bCs/>
          <w:szCs w:val="24"/>
        </w:rPr>
        <w:t>Zgodnie</w:t>
      </w:r>
      <w:r w:rsidR="00E45B1D" w:rsidRPr="004E0F02">
        <w:rPr>
          <w:rFonts w:eastAsia="Times New Roman" w:cs="Times New Roman"/>
          <w:bCs/>
          <w:szCs w:val="24"/>
        </w:rPr>
        <w:t xml:space="preserve"> z art. 2 pkt </w:t>
      </w:r>
      <w:r w:rsidR="00BD21BF" w:rsidRPr="004E0F02">
        <w:rPr>
          <w:rFonts w:eastAsia="Times New Roman" w:cs="Times New Roman"/>
          <w:bCs/>
          <w:szCs w:val="24"/>
        </w:rPr>
        <w:t>3 </w:t>
      </w:r>
      <w:r w:rsidRPr="004E0F02">
        <w:rPr>
          <w:rFonts w:eastAsia="Times New Roman" w:cs="Times New Roman"/>
          <w:bCs/>
          <w:szCs w:val="24"/>
        </w:rPr>
        <w:t>projektu ustawy za dane dynamiczne uznaje się informacje sektora publicznego utrwalone</w:t>
      </w:r>
      <w:r w:rsidR="00E45B1D" w:rsidRPr="004E0F02">
        <w:rPr>
          <w:rFonts w:eastAsia="Times New Roman" w:cs="Times New Roman"/>
          <w:bCs/>
          <w:szCs w:val="24"/>
        </w:rPr>
        <w:t xml:space="preserve"> w </w:t>
      </w:r>
      <w:r w:rsidRPr="004E0F02">
        <w:rPr>
          <w:rFonts w:eastAsia="Times New Roman" w:cs="Times New Roman"/>
          <w:bCs/>
          <w:szCs w:val="24"/>
        </w:rPr>
        <w:t>postaci elektronicznej podlegające częstym aktualizacjom lub aktualizacjom</w:t>
      </w:r>
      <w:r w:rsidR="00E45B1D" w:rsidRPr="004E0F02">
        <w:rPr>
          <w:rFonts w:eastAsia="Times New Roman" w:cs="Times New Roman"/>
          <w:bCs/>
          <w:szCs w:val="24"/>
        </w:rPr>
        <w:t xml:space="preserve"> w </w:t>
      </w:r>
      <w:r w:rsidRPr="004E0F02">
        <w:rPr>
          <w:rFonts w:eastAsia="Times New Roman" w:cs="Times New Roman"/>
          <w:bCs/>
          <w:szCs w:val="24"/>
        </w:rPr>
        <w:t>czasie rzeczywistym,</w:t>
      </w:r>
      <w:r w:rsidR="00E45B1D" w:rsidRPr="004E0F02">
        <w:rPr>
          <w:rFonts w:eastAsia="Times New Roman" w:cs="Times New Roman"/>
          <w:bCs/>
          <w:szCs w:val="24"/>
        </w:rPr>
        <w:t xml:space="preserve"> w </w:t>
      </w:r>
      <w:r w:rsidRPr="004E0F02">
        <w:rPr>
          <w:rFonts w:eastAsia="Times New Roman" w:cs="Times New Roman"/>
          <w:bCs/>
          <w:szCs w:val="24"/>
        </w:rPr>
        <w:t>szczególności ze względu na ich zmienność lub szybką dezaktualizację; za dane dynamiczne</w:t>
      </w:r>
      <w:r w:rsidR="00E45B1D" w:rsidRPr="004E0F02">
        <w:rPr>
          <w:rFonts w:eastAsia="Times New Roman" w:cs="Times New Roman"/>
          <w:bCs/>
          <w:szCs w:val="24"/>
        </w:rPr>
        <w:t xml:space="preserve"> w </w:t>
      </w:r>
      <w:r w:rsidRPr="004E0F02">
        <w:rPr>
          <w:rFonts w:eastAsia="Times New Roman" w:cs="Times New Roman"/>
          <w:bCs/>
          <w:szCs w:val="24"/>
        </w:rPr>
        <w:t>szczególności uznaje się dane wygenerowane przez czujniki.</w:t>
      </w:r>
      <w:r w:rsidR="00E45B1D" w:rsidRPr="004E0F02">
        <w:rPr>
          <w:rFonts w:eastAsia="Times New Roman" w:cs="Times New Roman"/>
          <w:bCs/>
          <w:szCs w:val="24"/>
        </w:rPr>
        <w:t xml:space="preserve"> W </w:t>
      </w:r>
      <w:r w:rsidRPr="004E0F02">
        <w:rPr>
          <w:rFonts w:eastAsia="Times New Roman" w:cs="Times New Roman"/>
          <w:bCs/>
          <w:szCs w:val="24"/>
        </w:rPr>
        <w:t>dyrektywie 2019/1024/UE dane dynamiczne zdefiniowane zostały jako dokumenty</w:t>
      </w:r>
      <w:r w:rsidR="00E45B1D" w:rsidRPr="004E0F02">
        <w:rPr>
          <w:rFonts w:eastAsia="Times New Roman" w:cs="Times New Roman"/>
          <w:bCs/>
          <w:szCs w:val="24"/>
        </w:rPr>
        <w:t xml:space="preserve"> w </w:t>
      </w:r>
      <w:r w:rsidRPr="004E0F02">
        <w:rPr>
          <w:rFonts w:eastAsia="Times New Roman" w:cs="Times New Roman"/>
          <w:bCs/>
          <w:szCs w:val="24"/>
        </w:rPr>
        <w:t>formie cyfrowej podlegające częstym aktualizacjom lub aktualizacjom</w:t>
      </w:r>
      <w:r w:rsidR="00E45B1D" w:rsidRPr="004E0F02">
        <w:rPr>
          <w:rFonts w:eastAsia="Times New Roman" w:cs="Times New Roman"/>
          <w:bCs/>
          <w:szCs w:val="24"/>
        </w:rPr>
        <w:t xml:space="preserve"> w </w:t>
      </w:r>
      <w:r w:rsidRPr="004E0F02">
        <w:rPr>
          <w:rFonts w:eastAsia="Times New Roman" w:cs="Times New Roman"/>
          <w:bCs/>
          <w:szCs w:val="24"/>
        </w:rPr>
        <w:t>czasie rzeczywistym</w:t>
      </w:r>
      <w:r w:rsidR="00D14F83" w:rsidRPr="004E0F02">
        <w:rPr>
          <w:rFonts w:eastAsia="Times New Roman" w:cs="Times New Roman"/>
          <w:bCs/>
          <w:szCs w:val="24"/>
        </w:rPr>
        <w:t>,</w:t>
      </w:r>
      <w:r w:rsidR="00E45B1D" w:rsidRPr="004E0F02">
        <w:rPr>
          <w:rFonts w:eastAsia="Times New Roman" w:cs="Times New Roman"/>
          <w:bCs/>
          <w:szCs w:val="24"/>
        </w:rPr>
        <w:t xml:space="preserve"> w </w:t>
      </w:r>
      <w:r w:rsidR="00D14F83" w:rsidRPr="004E0F02">
        <w:rPr>
          <w:rFonts w:eastAsia="Times New Roman" w:cs="Times New Roman"/>
          <w:bCs/>
          <w:szCs w:val="24"/>
        </w:rPr>
        <w:t>szczególności ze względu na </w:t>
      </w:r>
      <w:r w:rsidRPr="004E0F02">
        <w:rPr>
          <w:rFonts w:eastAsia="Times New Roman" w:cs="Times New Roman"/>
          <w:bCs/>
          <w:szCs w:val="24"/>
        </w:rPr>
        <w:t>ich zmienność lub szybką dezaktualizację,</w:t>
      </w:r>
      <w:r w:rsidR="00E45B1D" w:rsidRPr="004E0F02">
        <w:rPr>
          <w:rFonts w:eastAsia="Times New Roman" w:cs="Times New Roman"/>
          <w:bCs/>
          <w:szCs w:val="24"/>
        </w:rPr>
        <w:t xml:space="preserve"> a </w:t>
      </w:r>
      <w:r w:rsidRPr="004E0F02">
        <w:rPr>
          <w:rFonts w:eastAsia="Times New Roman" w:cs="Times New Roman"/>
          <w:bCs/>
          <w:szCs w:val="24"/>
        </w:rPr>
        <w:t xml:space="preserve">za dane takie zasadniczo uznano dane wygenerowane przez czujniki (art. </w:t>
      </w:r>
      <w:r w:rsidR="00E45B1D" w:rsidRPr="004E0F02">
        <w:rPr>
          <w:rFonts w:eastAsia="Times New Roman" w:cs="Times New Roman"/>
          <w:bCs/>
          <w:szCs w:val="24"/>
        </w:rPr>
        <w:t>2 pkt 8 </w:t>
      </w:r>
      <w:r w:rsidRPr="004E0F02">
        <w:rPr>
          <w:rFonts w:eastAsia="Times New Roman" w:cs="Times New Roman"/>
          <w:bCs/>
          <w:szCs w:val="24"/>
        </w:rPr>
        <w:t>dyrektywy 2019/1024/UE)</w:t>
      </w:r>
      <w:r w:rsidR="00E27182" w:rsidRPr="004E0F02">
        <w:rPr>
          <w:rFonts w:eastAsia="Times New Roman" w:cs="Times New Roman"/>
          <w:bCs/>
          <w:szCs w:val="24"/>
        </w:rPr>
        <w:t>.</w:t>
      </w:r>
    </w:p>
    <w:p w14:paraId="2D9C2F4D" w14:textId="37CF5F26"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Dane</w:t>
      </w:r>
      <w:r w:rsidR="00E45B1D" w:rsidRPr="004E0F02">
        <w:rPr>
          <w:rFonts w:eastAsia="Times New Roman" w:cs="Times New Roman"/>
          <w:bCs/>
          <w:szCs w:val="24"/>
        </w:rPr>
        <w:t xml:space="preserve"> o </w:t>
      </w:r>
      <w:r w:rsidRPr="004E0F02">
        <w:rPr>
          <w:rFonts w:eastAsia="Times New Roman" w:cs="Times New Roman"/>
          <w:bCs/>
          <w:szCs w:val="24"/>
        </w:rPr>
        <w:t>wysokiej wartości.</w:t>
      </w:r>
    </w:p>
    <w:p w14:paraId="5BCF608E" w14:textId="59AB08B2" w:rsidR="00A42682" w:rsidRPr="004E0F02" w:rsidRDefault="00A42682" w:rsidP="00921136">
      <w:pPr>
        <w:widowControl/>
        <w:spacing w:after="120" w:line="276" w:lineRule="auto"/>
        <w:ind w:left="340"/>
        <w:jc w:val="both"/>
        <w:rPr>
          <w:rFonts w:eastAsia="Times New Roman" w:cs="Times New Roman"/>
          <w:bCs/>
          <w:szCs w:val="24"/>
        </w:rPr>
      </w:pPr>
      <w:r w:rsidRPr="004E0F02">
        <w:rPr>
          <w:rFonts w:eastAsia="Times New Roman" w:cs="Times New Roman"/>
          <w:bCs/>
          <w:szCs w:val="24"/>
        </w:rPr>
        <w:lastRenderedPageBreak/>
        <w:t>Za dane</w:t>
      </w:r>
      <w:r w:rsidR="00E45B1D" w:rsidRPr="004E0F02">
        <w:rPr>
          <w:rFonts w:eastAsia="Times New Roman" w:cs="Times New Roman"/>
          <w:bCs/>
          <w:szCs w:val="24"/>
        </w:rPr>
        <w:t xml:space="preserve"> o </w:t>
      </w:r>
      <w:r w:rsidRPr="004E0F02">
        <w:rPr>
          <w:rFonts w:eastAsia="Times New Roman" w:cs="Times New Roman"/>
          <w:bCs/>
          <w:szCs w:val="24"/>
        </w:rPr>
        <w:t>wysokiej wartości</w:t>
      </w:r>
      <w:r w:rsidR="00E45B1D" w:rsidRPr="004E0F02">
        <w:rPr>
          <w:rFonts w:eastAsia="Times New Roman" w:cs="Times New Roman"/>
          <w:bCs/>
          <w:szCs w:val="24"/>
        </w:rPr>
        <w:t xml:space="preserve"> w </w:t>
      </w:r>
      <w:r w:rsidRPr="004E0F02">
        <w:rPr>
          <w:rFonts w:eastAsia="Times New Roman" w:cs="Times New Roman"/>
          <w:bCs/>
          <w:szCs w:val="24"/>
        </w:rPr>
        <w:t>rozumieniu ustawowym uznaje się informacje sektora publicznego, których ponowne wykorzystywanie wiąże się</w:t>
      </w:r>
      <w:r w:rsidR="00E45B1D" w:rsidRPr="004E0F02">
        <w:rPr>
          <w:rFonts w:eastAsia="Times New Roman" w:cs="Times New Roman"/>
          <w:bCs/>
          <w:szCs w:val="24"/>
        </w:rPr>
        <w:t xml:space="preserve"> z </w:t>
      </w:r>
      <w:r w:rsidRPr="004E0F02">
        <w:rPr>
          <w:rFonts w:eastAsia="Times New Roman" w:cs="Times New Roman"/>
          <w:bCs/>
          <w:szCs w:val="24"/>
        </w:rPr>
        <w:t>istotnymi korzyściami dla społeczeństwa, środowiska</w:t>
      </w:r>
      <w:r w:rsidR="00E45B1D" w:rsidRPr="004E0F02">
        <w:rPr>
          <w:rFonts w:eastAsia="Times New Roman" w:cs="Times New Roman"/>
          <w:bCs/>
          <w:szCs w:val="24"/>
        </w:rPr>
        <w:t xml:space="preserve"> i </w:t>
      </w:r>
      <w:r w:rsidRPr="004E0F02">
        <w:rPr>
          <w:rFonts w:eastAsia="Times New Roman" w:cs="Times New Roman"/>
          <w:bCs/>
          <w:szCs w:val="24"/>
        </w:rPr>
        <w:t>gospodarki,</w:t>
      </w:r>
      <w:r w:rsidR="00E45B1D" w:rsidRPr="004E0F02">
        <w:rPr>
          <w:rFonts w:eastAsia="Times New Roman" w:cs="Times New Roman"/>
          <w:bCs/>
          <w:szCs w:val="24"/>
        </w:rPr>
        <w:t xml:space="preserve"> w </w:t>
      </w:r>
      <w:r w:rsidRPr="004E0F02">
        <w:rPr>
          <w:rFonts w:eastAsia="Times New Roman" w:cs="Times New Roman"/>
          <w:bCs/>
          <w:szCs w:val="24"/>
        </w:rPr>
        <w:t>szczególności ze względu na ich przydatność do tworzenia produktów, usług</w:t>
      </w:r>
      <w:r w:rsidR="00E45B1D" w:rsidRPr="004E0F02">
        <w:rPr>
          <w:rFonts w:eastAsia="Times New Roman" w:cs="Times New Roman"/>
          <w:bCs/>
          <w:szCs w:val="24"/>
        </w:rPr>
        <w:t xml:space="preserve"> i </w:t>
      </w:r>
      <w:r w:rsidRPr="004E0F02">
        <w:rPr>
          <w:rFonts w:eastAsia="Times New Roman" w:cs="Times New Roman"/>
          <w:bCs/>
          <w:szCs w:val="24"/>
        </w:rPr>
        <w:t>zastosowań opartych na wykorzystaniu tych danych. Definicja zawarta</w:t>
      </w:r>
      <w:r w:rsidR="00E45B1D" w:rsidRPr="004E0F02">
        <w:rPr>
          <w:rFonts w:eastAsia="Times New Roman" w:cs="Times New Roman"/>
          <w:bCs/>
          <w:szCs w:val="24"/>
        </w:rPr>
        <w:t xml:space="preserve"> w art. 2 pkt 4 </w:t>
      </w:r>
      <w:r w:rsidRPr="004E0F02">
        <w:rPr>
          <w:rFonts w:eastAsia="Times New Roman" w:cs="Times New Roman"/>
          <w:bCs/>
          <w:szCs w:val="24"/>
        </w:rPr>
        <w:t>projektu ustawy stanowi implementację</w:t>
      </w:r>
      <w:r w:rsidR="00E45B1D" w:rsidRPr="004E0F02">
        <w:rPr>
          <w:rFonts w:eastAsia="Times New Roman" w:cs="Times New Roman"/>
          <w:bCs/>
          <w:szCs w:val="24"/>
        </w:rPr>
        <w:t xml:space="preserve"> art. 2 pkt </w:t>
      </w:r>
      <w:r w:rsidRPr="004E0F02">
        <w:rPr>
          <w:rFonts w:eastAsia="Times New Roman" w:cs="Times New Roman"/>
          <w:bCs/>
          <w:szCs w:val="24"/>
        </w:rPr>
        <w:t>1</w:t>
      </w:r>
      <w:r w:rsidR="00E45B1D" w:rsidRPr="004E0F02">
        <w:rPr>
          <w:rFonts w:eastAsia="Times New Roman" w:cs="Times New Roman"/>
          <w:bCs/>
          <w:szCs w:val="24"/>
        </w:rPr>
        <w:t>0 </w:t>
      </w:r>
      <w:r w:rsidRPr="004E0F02">
        <w:rPr>
          <w:rFonts w:eastAsia="Times New Roman" w:cs="Times New Roman"/>
          <w:bCs/>
          <w:szCs w:val="24"/>
        </w:rPr>
        <w:t>dyrektywy 2019/1024/UE zgodnie,</w:t>
      </w:r>
      <w:r w:rsidR="00E45B1D" w:rsidRPr="004E0F02">
        <w:rPr>
          <w:rFonts w:eastAsia="Times New Roman" w:cs="Times New Roman"/>
          <w:bCs/>
          <w:szCs w:val="24"/>
        </w:rPr>
        <w:t xml:space="preserve"> z </w:t>
      </w:r>
      <w:r w:rsidRPr="004E0F02">
        <w:rPr>
          <w:rFonts w:eastAsia="Times New Roman" w:cs="Times New Roman"/>
          <w:bCs/>
          <w:szCs w:val="24"/>
        </w:rPr>
        <w:t>którym cechy zbiorów danych o</w:t>
      </w:r>
      <w:r w:rsidR="00E27182" w:rsidRPr="004E0F02">
        <w:rPr>
          <w:rFonts w:eastAsia="Times New Roman" w:cs="Times New Roman"/>
          <w:bCs/>
          <w:szCs w:val="24"/>
        </w:rPr>
        <w:t> </w:t>
      </w:r>
      <w:r w:rsidRPr="004E0F02">
        <w:rPr>
          <w:rFonts w:eastAsia="Times New Roman" w:cs="Times New Roman"/>
          <w:bCs/>
          <w:szCs w:val="24"/>
        </w:rPr>
        <w:t>wysokiej wartości zawierają dokumenty, których ponowne wykorzystywanie wiąże się</w:t>
      </w:r>
      <w:r w:rsidR="00E45B1D" w:rsidRPr="004E0F02">
        <w:rPr>
          <w:rFonts w:eastAsia="Times New Roman" w:cs="Times New Roman"/>
          <w:bCs/>
          <w:szCs w:val="24"/>
        </w:rPr>
        <w:t xml:space="preserve"> z </w:t>
      </w:r>
      <w:r w:rsidRPr="004E0F02">
        <w:rPr>
          <w:rFonts w:eastAsia="Times New Roman" w:cs="Times New Roman"/>
          <w:bCs/>
          <w:szCs w:val="24"/>
        </w:rPr>
        <w:t>istotnymi korzyściami dla społeczeństwa, środowiska</w:t>
      </w:r>
      <w:r w:rsidR="00E45B1D" w:rsidRPr="004E0F02">
        <w:rPr>
          <w:rFonts w:eastAsia="Times New Roman" w:cs="Times New Roman"/>
          <w:bCs/>
          <w:szCs w:val="24"/>
        </w:rPr>
        <w:t xml:space="preserve"> i </w:t>
      </w:r>
      <w:r w:rsidRPr="004E0F02">
        <w:rPr>
          <w:rFonts w:eastAsia="Times New Roman" w:cs="Times New Roman"/>
          <w:bCs/>
          <w:szCs w:val="24"/>
        </w:rPr>
        <w:t>gospodarki, w</w:t>
      </w:r>
      <w:r w:rsidR="00E27182" w:rsidRPr="004E0F02">
        <w:rPr>
          <w:rFonts w:eastAsia="Times New Roman" w:cs="Times New Roman"/>
          <w:bCs/>
          <w:szCs w:val="24"/>
        </w:rPr>
        <w:t> </w:t>
      </w:r>
      <w:r w:rsidRPr="004E0F02">
        <w:rPr>
          <w:rFonts w:eastAsia="Times New Roman" w:cs="Times New Roman"/>
          <w:bCs/>
          <w:szCs w:val="24"/>
        </w:rPr>
        <w:t>szczególności ze względu na ich przydatność do tworzenia usług</w:t>
      </w:r>
      <w:r w:rsidR="00E45B1D" w:rsidRPr="004E0F02">
        <w:rPr>
          <w:rFonts w:eastAsia="Times New Roman" w:cs="Times New Roman"/>
          <w:bCs/>
          <w:szCs w:val="24"/>
        </w:rPr>
        <w:t xml:space="preserve"> i </w:t>
      </w:r>
      <w:r w:rsidRPr="004E0F02">
        <w:rPr>
          <w:rFonts w:eastAsia="Times New Roman" w:cs="Times New Roman"/>
          <w:bCs/>
          <w:szCs w:val="24"/>
        </w:rPr>
        <w:t>zastosowań o</w:t>
      </w:r>
      <w:r w:rsidR="00E27182" w:rsidRPr="004E0F02">
        <w:rPr>
          <w:rFonts w:eastAsia="Times New Roman" w:cs="Times New Roman"/>
          <w:bCs/>
          <w:szCs w:val="24"/>
        </w:rPr>
        <w:t> </w:t>
      </w:r>
      <w:r w:rsidRPr="004E0F02">
        <w:rPr>
          <w:rFonts w:eastAsia="Times New Roman" w:cs="Times New Roman"/>
          <w:bCs/>
          <w:szCs w:val="24"/>
        </w:rPr>
        <w:t>wartości dodanej oraz nowych godziwych miejsc pracy wysokiej jakości,</w:t>
      </w:r>
      <w:r w:rsidR="00E45B1D" w:rsidRPr="004E0F02">
        <w:rPr>
          <w:rFonts w:eastAsia="Times New Roman" w:cs="Times New Roman"/>
          <w:bCs/>
          <w:szCs w:val="24"/>
        </w:rPr>
        <w:t xml:space="preserve"> a </w:t>
      </w:r>
      <w:r w:rsidRPr="004E0F02">
        <w:rPr>
          <w:rFonts w:eastAsia="Times New Roman" w:cs="Times New Roman"/>
          <w:bCs/>
          <w:szCs w:val="24"/>
        </w:rPr>
        <w:t>także ze</w:t>
      </w:r>
      <w:r w:rsidR="00E27182" w:rsidRPr="004E0F02">
        <w:rPr>
          <w:rFonts w:eastAsia="Times New Roman" w:cs="Times New Roman"/>
          <w:bCs/>
          <w:szCs w:val="24"/>
        </w:rPr>
        <w:t> </w:t>
      </w:r>
      <w:r w:rsidRPr="004E0F02">
        <w:rPr>
          <w:rFonts w:eastAsia="Times New Roman" w:cs="Times New Roman"/>
          <w:bCs/>
          <w:szCs w:val="24"/>
        </w:rPr>
        <w:t>względu na liczbę potencjalnych beneficjentów usług i zastosowań</w:t>
      </w:r>
      <w:r w:rsidR="00E45B1D" w:rsidRPr="004E0F02">
        <w:rPr>
          <w:rFonts w:eastAsia="Times New Roman" w:cs="Times New Roman"/>
          <w:bCs/>
          <w:szCs w:val="24"/>
        </w:rPr>
        <w:t xml:space="preserve"> o </w:t>
      </w:r>
      <w:r w:rsidRPr="004E0F02">
        <w:rPr>
          <w:rFonts w:eastAsia="Times New Roman" w:cs="Times New Roman"/>
          <w:bCs/>
          <w:szCs w:val="24"/>
        </w:rPr>
        <w:t>wartości dodanej opartych na tych zbiorach danych</w:t>
      </w:r>
      <w:r w:rsidR="00E27182" w:rsidRPr="004E0F02">
        <w:rPr>
          <w:rFonts w:eastAsia="Times New Roman" w:cs="Times New Roman"/>
          <w:bCs/>
          <w:szCs w:val="24"/>
        </w:rPr>
        <w:t>.</w:t>
      </w:r>
    </w:p>
    <w:p w14:paraId="3DB821A5"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Dane prywatne.</w:t>
      </w:r>
    </w:p>
    <w:p w14:paraId="5BEF8CA8" w14:textId="0B41EDEC" w:rsidR="00A42682" w:rsidRPr="004E0F02" w:rsidRDefault="00A42682" w:rsidP="00921136">
      <w:pPr>
        <w:widowControl/>
        <w:spacing w:after="120" w:line="276" w:lineRule="auto"/>
        <w:ind w:left="340"/>
        <w:jc w:val="both"/>
        <w:rPr>
          <w:rFonts w:eastAsia="Times New Roman" w:cs="Times New Roman"/>
          <w:bCs/>
          <w:szCs w:val="24"/>
        </w:rPr>
      </w:pPr>
      <w:r w:rsidRPr="004E0F02">
        <w:rPr>
          <w:rFonts w:eastAsia="Times New Roman" w:cs="Times New Roman"/>
          <w:bCs/>
          <w:szCs w:val="24"/>
        </w:rPr>
        <w:t>Jako dane prywatne rozumie się każdą treść lub jej część, niezależnie od sposobu utrwalenia,</w:t>
      </w:r>
      <w:r w:rsidR="00E45B1D" w:rsidRPr="004E0F02">
        <w:rPr>
          <w:rFonts w:eastAsia="Times New Roman" w:cs="Times New Roman"/>
          <w:bCs/>
          <w:szCs w:val="24"/>
        </w:rPr>
        <w:t xml:space="preserve"> w </w:t>
      </w:r>
      <w:r w:rsidRPr="004E0F02">
        <w:rPr>
          <w:rFonts w:eastAsia="Times New Roman" w:cs="Times New Roman"/>
          <w:bCs/>
          <w:szCs w:val="24"/>
        </w:rPr>
        <w:t>szczególności</w:t>
      </w:r>
      <w:r w:rsidR="00E45B1D" w:rsidRPr="004E0F02">
        <w:rPr>
          <w:rFonts w:eastAsia="Times New Roman" w:cs="Times New Roman"/>
          <w:bCs/>
          <w:szCs w:val="24"/>
        </w:rPr>
        <w:t xml:space="preserve"> w </w:t>
      </w:r>
      <w:r w:rsidRPr="004E0F02">
        <w:rPr>
          <w:rFonts w:eastAsia="Times New Roman" w:cs="Times New Roman"/>
          <w:bCs/>
          <w:szCs w:val="24"/>
        </w:rPr>
        <w:t>postaci papierowej, elektronicznej, dźwiękowej, wizualnej lub audiowizualnej, będącą</w:t>
      </w:r>
      <w:r w:rsidR="00E45B1D" w:rsidRPr="004E0F02">
        <w:rPr>
          <w:rFonts w:eastAsia="Times New Roman" w:cs="Times New Roman"/>
          <w:bCs/>
          <w:szCs w:val="24"/>
        </w:rPr>
        <w:t xml:space="preserve"> w </w:t>
      </w:r>
      <w:r w:rsidRPr="004E0F02">
        <w:rPr>
          <w:rFonts w:eastAsia="Times New Roman" w:cs="Times New Roman"/>
          <w:bCs/>
          <w:szCs w:val="24"/>
        </w:rPr>
        <w:t>posiadaniu podmiotu innego niż podmiot zobowiązany i</w:t>
      </w:r>
      <w:r w:rsidR="00190DE1" w:rsidRPr="004E0F02">
        <w:rPr>
          <w:rFonts w:eastAsia="Times New Roman" w:cs="Times New Roman"/>
          <w:bCs/>
          <w:szCs w:val="24"/>
        </w:rPr>
        <w:t> </w:t>
      </w:r>
      <w:r w:rsidRPr="004E0F02">
        <w:rPr>
          <w:rFonts w:eastAsia="Times New Roman" w:cs="Times New Roman"/>
          <w:bCs/>
          <w:szCs w:val="24"/>
        </w:rPr>
        <w:t>przez niego wytworzoną</w:t>
      </w:r>
      <w:r w:rsidR="00BD21BF" w:rsidRPr="004E0F02">
        <w:rPr>
          <w:rFonts w:eastAsia="Times New Roman" w:cs="Times New Roman"/>
          <w:bCs/>
          <w:szCs w:val="24"/>
        </w:rPr>
        <w:t>, z wyjątkiem danych osobowych</w:t>
      </w:r>
      <w:r w:rsidRPr="004E0F02">
        <w:rPr>
          <w:rFonts w:eastAsia="Times New Roman" w:cs="Times New Roman"/>
          <w:bCs/>
          <w:szCs w:val="24"/>
        </w:rPr>
        <w:t>. Zgodnie</w:t>
      </w:r>
      <w:r w:rsidR="00E45B1D" w:rsidRPr="004E0F02">
        <w:rPr>
          <w:rFonts w:eastAsia="Times New Roman" w:cs="Times New Roman"/>
          <w:bCs/>
          <w:szCs w:val="24"/>
        </w:rPr>
        <w:t xml:space="preserve"> z </w:t>
      </w:r>
      <w:r w:rsidRPr="004E0F02">
        <w:rPr>
          <w:rFonts w:eastAsia="Times New Roman" w:cs="Times New Roman"/>
          <w:bCs/>
          <w:szCs w:val="24"/>
        </w:rPr>
        <w:t>powyższym za dane prywatne w</w:t>
      </w:r>
      <w:r w:rsidR="00E27182" w:rsidRPr="004E0F02">
        <w:rPr>
          <w:rFonts w:eastAsia="Times New Roman" w:cs="Times New Roman"/>
          <w:bCs/>
          <w:szCs w:val="24"/>
        </w:rPr>
        <w:t> </w:t>
      </w:r>
      <w:r w:rsidRPr="004E0F02">
        <w:rPr>
          <w:rFonts w:eastAsia="Times New Roman" w:cs="Times New Roman"/>
          <w:bCs/>
          <w:szCs w:val="24"/>
        </w:rPr>
        <w:t>rozumieniu ustawowym uznaje się wszelkie treści będące</w:t>
      </w:r>
      <w:r w:rsidR="00E45B1D" w:rsidRPr="004E0F02">
        <w:rPr>
          <w:rFonts w:eastAsia="Times New Roman" w:cs="Times New Roman"/>
          <w:bCs/>
          <w:szCs w:val="24"/>
        </w:rPr>
        <w:t xml:space="preserve"> w </w:t>
      </w:r>
      <w:r w:rsidRPr="004E0F02">
        <w:rPr>
          <w:rFonts w:eastAsia="Times New Roman" w:cs="Times New Roman"/>
          <w:bCs/>
          <w:szCs w:val="24"/>
        </w:rPr>
        <w:t>posiadaniu (i przez nie wytworzone) podmiotów innych niż te, które wymienione zostały</w:t>
      </w:r>
      <w:r w:rsidR="00E45B1D" w:rsidRPr="004E0F02">
        <w:rPr>
          <w:rFonts w:eastAsia="Times New Roman" w:cs="Times New Roman"/>
          <w:bCs/>
          <w:szCs w:val="24"/>
        </w:rPr>
        <w:t xml:space="preserve"> w art. 3 </w:t>
      </w:r>
      <w:r w:rsidRPr="004E0F02">
        <w:rPr>
          <w:rFonts w:eastAsia="Times New Roman" w:cs="Times New Roman"/>
          <w:bCs/>
          <w:szCs w:val="24"/>
        </w:rPr>
        <w:t>projektu ustawy. W</w:t>
      </w:r>
      <w:r w:rsidR="00190DE1" w:rsidRPr="004E0F02">
        <w:rPr>
          <w:rFonts w:eastAsia="Times New Roman" w:cs="Times New Roman"/>
          <w:bCs/>
          <w:szCs w:val="24"/>
        </w:rPr>
        <w:t> </w:t>
      </w:r>
      <w:r w:rsidRPr="004E0F02">
        <w:rPr>
          <w:rFonts w:eastAsia="Times New Roman" w:cs="Times New Roman"/>
          <w:bCs/>
          <w:szCs w:val="24"/>
        </w:rPr>
        <w:t>szczególności będą to zasoby danych znajdujące się</w:t>
      </w:r>
      <w:r w:rsidR="00E45B1D" w:rsidRPr="004E0F02">
        <w:rPr>
          <w:rFonts w:eastAsia="Times New Roman" w:cs="Times New Roman"/>
          <w:bCs/>
          <w:szCs w:val="24"/>
        </w:rPr>
        <w:t xml:space="preserve"> w </w:t>
      </w:r>
      <w:r w:rsidRPr="004E0F02">
        <w:rPr>
          <w:rFonts w:eastAsia="Times New Roman" w:cs="Times New Roman"/>
          <w:bCs/>
          <w:szCs w:val="24"/>
        </w:rPr>
        <w:t>posiadaniu przedsiębiorców, czy też organizacji pozarządowych</w:t>
      </w:r>
      <w:r w:rsidR="00BD21BF" w:rsidRPr="004E0F02">
        <w:rPr>
          <w:rFonts w:eastAsia="Times New Roman" w:cs="Times New Roman"/>
          <w:bCs/>
          <w:szCs w:val="24"/>
        </w:rPr>
        <w:t xml:space="preserve"> (i przez nich wytworzone)</w:t>
      </w:r>
      <w:r w:rsidR="00E27182" w:rsidRPr="004E0F02">
        <w:rPr>
          <w:rFonts w:eastAsia="Times New Roman" w:cs="Times New Roman"/>
          <w:bCs/>
          <w:szCs w:val="24"/>
        </w:rPr>
        <w:t>.</w:t>
      </w:r>
    </w:p>
    <w:p w14:paraId="0FF40172"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Format otwarty.</w:t>
      </w:r>
    </w:p>
    <w:p w14:paraId="1EE821EC" w14:textId="7A840BAD" w:rsidR="00A42682" w:rsidRPr="004E0F02" w:rsidRDefault="00A42682" w:rsidP="00921136">
      <w:pPr>
        <w:widowControl/>
        <w:spacing w:after="120" w:line="276" w:lineRule="auto"/>
        <w:ind w:left="340"/>
        <w:jc w:val="both"/>
        <w:rPr>
          <w:rFonts w:eastAsia="Times New Roman" w:cs="Times New Roman"/>
          <w:bCs/>
          <w:szCs w:val="24"/>
        </w:rPr>
      </w:pPr>
      <w:r w:rsidRPr="004E0F02">
        <w:rPr>
          <w:rFonts w:eastAsia="Times New Roman" w:cs="Times New Roman"/>
          <w:bCs/>
          <w:szCs w:val="24"/>
        </w:rPr>
        <w:t>Format otwarty zdefiniowano</w:t>
      </w:r>
      <w:r w:rsidR="00E45B1D" w:rsidRPr="004E0F02">
        <w:rPr>
          <w:rFonts w:eastAsia="Times New Roman" w:cs="Times New Roman"/>
          <w:bCs/>
          <w:szCs w:val="24"/>
        </w:rPr>
        <w:t xml:space="preserve"> w art. 2 pkt 6 </w:t>
      </w:r>
      <w:r w:rsidRPr="004E0F02">
        <w:rPr>
          <w:rFonts w:eastAsia="Times New Roman" w:cs="Times New Roman"/>
          <w:bCs/>
          <w:szCs w:val="24"/>
        </w:rPr>
        <w:t xml:space="preserve">projektu ustawy jako format pliku, który </w:t>
      </w:r>
      <w:r w:rsidR="00BD21BF" w:rsidRPr="004E0F02">
        <w:rPr>
          <w:rFonts w:eastAsia="Times New Roman" w:cs="Times New Roman"/>
          <w:bCs/>
          <w:szCs w:val="24"/>
        </w:rPr>
        <w:t xml:space="preserve">jest niezależny od systemu </w:t>
      </w:r>
      <w:r w:rsidRPr="004E0F02">
        <w:rPr>
          <w:rFonts w:eastAsia="Times New Roman" w:cs="Times New Roman"/>
          <w:bCs/>
          <w:szCs w:val="24"/>
        </w:rPr>
        <w:t>oraz jest udostępniany bez żadnych ograniczeń, które utrudniałyby ponowne wykorzystywanie. Wskazana definicja ustawowa stanowi implementację</w:t>
      </w:r>
      <w:r w:rsidR="00E45B1D" w:rsidRPr="004E0F02">
        <w:rPr>
          <w:rFonts w:eastAsia="Times New Roman" w:cs="Times New Roman"/>
          <w:bCs/>
          <w:szCs w:val="24"/>
        </w:rPr>
        <w:t xml:space="preserve"> art. 2 pkt </w:t>
      </w:r>
      <w:r w:rsidRPr="004E0F02">
        <w:rPr>
          <w:rFonts w:eastAsia="Times New Roman" w:cs="Times New Roman"/>
          <w:bCs/>
          <w:szCs w:val="24"/>
        </w:rPr>
        <w:t>1</w:t>
      </w:r>
      <w:r w:rsidR="00E45B1D" w:rsidRPr="004E0F02">
        <w:rPr>
          <w:rFonts w:eastAsia="Times New Roman" w:cs="Times New Roman"/>
          <w:bCs/>
          <w:szCs w:val="24"/>
        </w:rPr>
        <w:t>4 </w:t>
      </w:r>
      <w:r w:rsidRPr="004E0F02">
        <w:rPr>
          <w:rFonts w:eastAsia="Times New Roman" w:cs="Times New Roman"/>
          <w:bCs/>
          <w:szCs w:val="24"/>
        </w:rPr>
        <w:t xml:space="preserve">dyrektywy 2019/1024/UE. </w:t>
      </w:r>
      <w:r w:rsidR="00E45B1D" w:rsidRPr="004E0F02">
        <w:rPr>
          <w:rFonts w:eastAsia="Times New Roman" w:cs="Times New Roman"/>
          <w:bCs/>
          <w:szCs w:val="24"/>
        </w:rPr>
        <w:t xml:space="preserve"> W </w:t>
      </w:r>
      <w:r w:rsidRPr="004E0F02">
        <w:rPr>
          <w:rFonts w:eastAsia="Times New Roman" w:cs="Times New Roman"/>
          <w:bCs/>
          <w:szCs w:val="24"/>
        </w:rPr>
        <w:t>szczególności za przykłady formatów otwartych uznać można formaty: CSV, ODS, JSON, XML, RDF, HTML, SHP, GML oraz KML</w:t>
      </w:r>
      <w:r w:rsidR="00E27182" w:rsidRPr="004E0F02">
        <w:rPr>
          <w:rFonts w:eastAsia="Times New Roman" w:cs="Times New Roman"/>
          <w:bCs/>
          <w:szCs w:val="24"/>
        </w:rPr>
        <w:t>.</w:t>
      </w:r>
    </w:p>
    <w:p w14:paraId="31E5B812" w14:textId="5AFD3115" w:rsidR="008C2277" w:rsidRPr="004E0F02" w:rsidRDefault="008C2277" w:rsidP="008C2277">
      <w:pPr>
        <w:widowControl/>
        <w:spacing w:after="120" w:line="276" w:lineRule="auto"/>
        <w:ind w:left="340"/>
        <w:jc w:val="both"/>
        <w:rPr>
          <w:rFonts w:eastAsia="Times New Roman" w:cs="Times New Roman"/>
          <w:bCs/>
          <w:szCs w:val="24"/>
        </w:rPr>
      </w:pPr>
      <w:r w:rsidRPr="004E0F02">
        <w:rPr>
          <w:rFonts w:eastAsia="Times New Roman" w:cs="Times New Roman"/>
          <w:bCs/>
          <w:szCs w:val="24"/>
        </w:rPr>
        <w:t>Innymi słowy format otwarty to format pliku:</w:t>
      </w:r>
    </w:p>
    <w:p w14:paraId="54D36B45" w14:textId="77777777" w:rsidR="008C2277" w:rsidRPr="004E0F02" w:rsidRDefault="008C2277" w:rsidP="008C2277">
      <w:pPr>
        <w:widowControl/>
        <w:numPr>
          <w:ilvl w:val="0"/>
          <w:numId w:val="43"/>
        </w:numPr>
        <w:spacing w:after="120" w:line="276" w:lineRule="auto"/>
        <w:jc w:val="both"/>
        <w:rPr>
          <w:rFonts w:eastAsia="Times New Roman" w:cs="Times New Roman"/>
          <w:bCs/>
          <w:szCs w:val="24"/>
        </w:rPr>
      </w:pPr>
      <w:r w:rsidRPr="004E0F02">
        <w:rPr>
          <w:rFonts w:eastAsia="Times New Roman" w:cs="Times New Roman"/>
          <w:bCs/>
          <w:szCs w:val="24"/>
        </w:rPr>
        <w:t>którego specyfikacja powstała i jest utrzymywana w drodze procedury pozwalającej na uwzględnienie potrzeb każdego zainteresowanego,</w:t>
      </w:r>
    </w:p>
    <w:p w14:paraId="4DC72303" w14:textId="77777777" w:rsidR="008C2277" w:rsidRPr="004E0F02" w:rsidRDefault="008C2277" w:rsidP="008C2277">
      <w:pPr>
        <w:widowControl/>
        <w:numPr>
          <w:ilvl w:val="0"/>
          <w:numId w:val="43"/>
        </w:numPr>
        <w:spacing w:after="120" w:line="276" w:lineRule="auto"/>
        <w:jc w:val="both"/>
        <w:rPr>
          <w:rFonts w:eastAsia="Times New Roman" w:cs="Times New Roman"/>
          <w:bCs/>
          <w:szCs w:val="24"/>
        </w:rPr>
      </w:pPr>
      <w:r w:rsidRPr="004E0F02">
        <w:rPr>
          <w:rFonts w:eastAsia="Times New Roman" w:cs="Times New Roman"/>
          <w:bCs/>
          <w:szCs w:val="24"/>
        </w:rPr>
        <w:t>którego wykorzystanie oraz wdrożenie nie wymaga korzystania z własnościowych narzędzi ani rozwiązań,</w:t>
      </w:r>
    </w:p>
    <w:p w14:paraId="360E297B" w14:textId="59649D8A" w:rsidR="008C2277" w:rsidRPr="004E0F02" w:rsidRDefault="008C2277" w:rsidP="008C2277">
      <w:pPr>
        <w:widowControl/>
        <w:numPr>
          <w:ilvl w:val="0"/>
          <w:numId w:val="43"/>
        </w:numPr>
        <w:spacing w:after="120" w:line="276" w:lineRule="auto"/>
        <w:jc w:val="both"/>
        <w:rPr>
          <w:rFonts w:eastAsia="Times New Roman" w:cs="Times New Roman"/>
          <w:bCs/>
          <w:szCs w:val="24"/>
        </w:rPr>
      </w:pPr>
      <w:r w:rsidRPr="004E0F02">
        <w:rPr>
          <w:rFonts w:eastAsia="Times New Roman" w:cs="Times New Roman"/>
          <w:bCs/>
          <w:szCs w:val="24"/>
        </w:rPr>
        <w:t xml:space="preserve">dla którego istnieją kompletne implementacje pochodzące od niezależnych dostawców lub którego kompletna implementacja dostępna jest dla wszystkich bez ograniczeń technicznych </w:t>
      </w:r>
      <w:r w:rsidR="00992E28" w:rsidRPr="004E0F02">
        <w:rPr>
          <w:rFonts w:eastAsia="Times New Roman" w:cs="Times New Roman"/>
          <w:bCs/>
          <w:szCs w:val="24"/>
        </w:rPr>
        <w:t>lub</w:t>
      </w:r>
      <w:r w:rsidRPr="004E0F02">
        <w:rPr>
          <w:rFonts w:eastAsia="Times New Roman" w:cs="Times New Roman"/>
          <w:bCs/>
          <w:szCs w:val="24"/>
        </w:rPr>
        <w:t xml:space="preserve"> prawnych.</w:t>
      </w:r>
    </w:p>
    <w:p w14:paraId="4A6A145B"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Format przeznaczony do odczytu maszynowego.</w:t>
      </w:r>
    </w:p>
    <w:p w14:paraId="629BB4AF" w14:textId="65570EBF" w:rsidR="00A42682" w:rsidRPr="004E0F02" w:rsidRDefault="00A42682" w:rsidP="00921136">
      <w:pPr>
        <w:widowControl/>
        <w:spacing w:after="120" w:line="276" w:lineRule="auto"/>
        <w:ind w:left="340"/>
        <w:jc w:val="both"/>
        <w:rPr>
          <w:rFonts w:eastAsia="Times New Roman" w:cs="Times New Roman"/>
          <w:bCs/>
          <w:szCs w:val="24"/>
        </w:rPr>
      </w:pPr>
      <w:r w:rsidRPr="004E0F02">
        <w:rPr>
          <w:rFonts w:eastAsia="Times New Roman" w:cs="Times New Roman"/>
          <w:bCs/>
          <w:szCs w:val="24"/>
        </w:rPr>
        <w:t>Format przeznaczony do odczytu maszynowego zdefiniowano</w:t>
      </w:r>
      <w:r w:rsidR="00E45B1D" w:rsidRPr="004E0F02">
        <w:rPr>
          <w:rFonts w:eastAsia="Times New Roman" w:cs="Times New Roman"/>
          <w:bCs/>
          <w:szCs w:val="24"/>
        </w:rPr>
        <w:t xml:space="preserve"> w </w:t>
      </w:r>
      <w:r w:rsidRPr="004E0F02">
        <w:rPr>
          <w:rFonts w:eastAsia="Times New Roman" w:cs="Times New Roman"/>
          <w:bCs/>
          <w:szCs w:val="24"/>
        </w:rPr>
        <w:t>projekcie ustawy jako format pliku ustrukturyzowany tak, aby programy komputerowe mogły łatwo zidentyfikować, rozpoznać</w:t>
      </w:r>
      <w:r w:rsidR="00E45B1D" w:rsidRPr="004E0F02">
        <w:rPr>
          <w:rFonts w:eastAsia="Times New Roman" w:cs="Times New Roman"/>
          <w:bCs/>
          <w:szCs w:val="24"/>
        </w:rPr>
        <w:t xml:space="preserve"> i </w:t>
      </w:r>
      <w:r w:rsidRPr="004E0F02">
        <w:rPr>
          <w:rFonts w:eastAsia="Times New Roman" w:cs="Times New Roman"/>
          <w:bCs/>
          <w:szCs w:val="24"/>
        </w:rPr>
        <w:t>pozyskać określone dane</w:t>
      </w:r>
      <w:r w:rsidR="00E45B1D" w:rsidRPr="004E0F02">
        <w:rPr>
          <w:rFonts w:eastAsia="Times New Roman" w:cs="Times New Roman"/>
          <w:bCs/>
          <w:szCs w:val="24"/>
        </w:rPr>
        <w:t xml:space="preserve"> i </w:t>
      </w:r>
      <w:r w:rsidRPr="004E0F02">
        <w:rPr>
          <w:rFonts w:eastAsia="Times New Roman" w:cs="Times New Roman"/>
          <w:bCs/>
          <w:szCs w:val="24"/>
        </w:rPr>
        <w:t>ich wewnętrzną strukturę</w:t>
      </w:r>
      <w:r w:rsidR="002F5B1F" w:rsidRPr="004E0F02">
        <w:rPr>
          <w:rFonts w:eastAsia="Times New Roman" w:cs="Times New Roman"/>
          <w:bCs/>
          <w:szCs w:val="24"/>
        </w:rPr>
        <w:t>,</w:t>
      </w:r>
      <w:r w:rsidR="002F5B1F" w:rsidRPr="004E0F02">
        <w:t xml:space="preserve"> </w:t>
      </w:r>
      <w:r w:rsidR="002F5B1F" w:rsidRPr="004E0F02">
        <w:rPr>
          <w:rFonts w:eastAsia="Times New Roman" w:cs="Times New Roman"/>
          <w:bCs/>
          <w:szCs w:val="24"/>
        </w:rPr>
        <w:t>bez utraty ich semantycznej interoperacyjności</w:t>
      </w:r>
      <w:r w:rsidRPr="004E0F02">
        <w:rPr>
          <w:rFonts w:eastAsia="Times New Roman" w:cs="Times New Roman"/>
          <w:bCs/>
          <w:szCs w:val="24"/>
        </w:rPr>
        <w:t>. Art.</w:t>
      </w:r>
      <w:r w:rsidR="009A228A" w:rsidRPr="004E0F02">
        <w:rPr>
          <w:rFonts w:eastAsia="Times New Roman" w:cs="Times New Roman"/>
          <w:bCs/>
          <w:szCs w:val="24"/>
        </w:rPr>
        <w:t> </w:t>
      </w:r>
      <w:r w:rsidR="00E45B1D" w:rsidRPr="004E0F02">
        <w:rPr>
          <w:rFonts w:eastAsia="Times New Roman" w:cs="Times New Roman"/>
          <w:bCs/>
          <w:szCs w:val="24"/>
        </w:rPr>
        <w:t>2 pkt 7 </w:t>
      </w:r>
      <w:r w:rsidRPr="004E0F02">
        <w:rPr>
          <w:rFonts w:eastAsia="Times New Roman" w:cs="Times New Roman"/>
          <w:bCs/>
          <w:szCs w:val="24"/>
        </w:rPr>
        <w:t xml:space="preserve">projektu ustawy stanowi </w:t>
      </w:r>
      <w:r w:rsidRPr="004E0F02">
        <w:rPr>
          <w:rFonts w:eastAsia="Times New Roman" w:cs="Times New Roman"/>
          <w:bCs/>
          <w:szCs w:val="24"/>
        </w:rPr>
        <w:lastRenderedPageBreak/>
        <w:t>odzwierciedlenie definicji</w:t>
      </w:r>
      <w:r w:rsidRPr="004E0F02">
        <w:rPr>
          <w:rFonts w:eastAsia="Calibri" w:cs="Times New Roman"/>
          <w:szCs w:val="24"/>
          <w:lang w:eastAsia="en-US"/>
        </w:rPr>
        <w:t xml:space="preserve"> </w:t>
      </w:r>
      <w:r w:rsidRPr="004E0F02">
        <w:rPr>
          <w:rFonts w:eastAsia="Times New Roman" w:cs="Times New Roman"/>
          <w:bCs/>
          <w:szCs w:val="24"/>
        </w:rPr>
        <w:t>formatu nadającego się do</w:t>
      </w:r>
      <w:r w:rsidR="009A228A" w:rsidRPr="004E0F02">
        <w:rPr>
          <w:rFonts w:eastAsia="Times New Roman" w:cs="Times New Roman"/>
          <w:bCs/>
          <w:szCs w:val="24"/>
        </w:rPr>
        <w:t> </w:t>
      </w:r>
      <w:r w:rsidRPr="004E0F02">
        <w:rPr>
          <w:rFonts w:eastAsia="Times New Roman" w:cs="Times New Roman"/>
          <w:bCs/>
          <w:szCs w:val="24"/>
        </w:rPr>
        <w:t>odczytu maszynowego zawartej</w:t>
      </w:r>
      <w:r w:rsidR="00E45B1D" w:rsidRPr="004E0F02">
        <w:rPr>
          <w:rFonts w:eastAsia="Times New Roman" w:cs="Times New Roman"/>
          <w:bCs/>
          <w:szCs w:val="24"/>
        </w:rPr>
        <w:t xml:space="preserve"> w art. 2 pkt </w:t>
      </w:r>
      <w:r w:rsidRPr="004E0F02">
        <w:rPr>
          <w:rFonts w:eastAsia="Times New Roman" w:cs="Times New Roman"/>
          <w:bCs/>
          <w:szCs w:val="24"/>
        </w:rPr>
        <w:t>1</w:t>
      </w:r>
      <w:r w:rsidR="00E45B1D" w:rsidRPr="004E0F02">
        <w:rPr>
          <w:rFonts w:eastAsia="Times New Roman" w:cs="Times New Roman"/>
          <w:bCs/>
          <w:szCs w:val="24"/>
        </w:rPr>
        <w:t>3 </w:t>
      </w:r>
      <w:r w:rsidRPr="004E0F02">
        <w:rPr>
          <w:rFonts w:eastAsia="Times New Roman" w:cs="Times New Roman"/>
          <w:bCs/>
          <w:szCs w:val="24"/>
        </w:rPr>
        <w:t>dyrektywy 2019/1024/UE</w:t>
      </w:r>
      <w:r w:rsidR="009A228A" w:rsidRPr="004E0F02">
        <w:rPr>
          <w:rFonts w:eastAsia="Times New Roman" w:cs="Times New Roman"/>
          <w:bCs/>
          <w:szCs w:val="24"/>
        </w:rPr>
        <w:t>.</w:t>
      </w:r>
    </w:p>
    <w:p w14:paraId="0A6F7E4F"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Informacja sektora publicznego.</w:t>
      </w:r>
    </w:p>
    <w:p w14:paraId="1DE69F0B" w14:textId="39482073" w:rsidR="00921136" w:rsidRPr="004E0F02" w:rsidRDefault="00A42682" w:rsidP="00C74BD9">
      <w:pPr>
        <w:widowControl/>
        <w:spacing w:before="240" w:after="120" w:line="276" w:lineRule="auto"/>
        <w:ind w:left="360"/>
        <w:contextualSpacing/>
        <w:jc w:val="both"/>
        <w:rPr>
          <w:rFonts w:eastAsia="Times New Roman" w:cs="Times New Roman"/>
          <w:bCs/>
          <w:szCs w:val="24"/>
        </w:rPr>
      </w:pPr>
      <w:r w:rsidRPr="004E0F02">
        <w:rPr>
          <w:rFonts w:eastAsia="Times New Roman" w:cs="Times New Roman"/>
          <w:bCs/>
          <w:szCs w:val="24"/>
        </w:rPr>
        <w:t>Przez informację sektora publicznego rozumie się każdą treść lub jej część, niezależnie od</w:t>
      </w:r>
      <w:r w:rsidR="00190DE1" w:rsidRPr="004E0F02">
        <w:rPr>
          <w:rFonts w:eastAsia="Times New Roman" w:cs="Times New Roman"/>
          <w:bCs/>
          <w:szCs w:val="24"/>
        </w:rPr>
        <w:t> </w:t>
      </w:r>
      <w:r w:rsidRPr="004E0F02">
        <w:rPr>
          <w:rFonts w:eastAsia="Times New Roman" w:cs="Times New Roman"/>
          <w:bCs/>
          <w:szCs w:val="24"/>
        </w:rPr>
        <w:t>sposobu utrwalenia, w szczególności w postaci papierowej, elektronicznej, dźwiękowej, wizualnej lub audiowizualnej, będącą w posiadaniu podmiotu zobowiązanego. Definicja informacji sektora publicznego wprowadzona</w:t>
      </w:r>
      <w:r w:rsidR="00E45B1D" w:rsidRPr="004E0F02">
        <w:rPr>
          <w:rFonts w:eastAsia="Times New Roman" w:cs="Times New Roman"/>
          <w:bCs/>
          <w:szCs w:val="24"/>
        </w:rPr>
        <w:t xml:space="preserve"> w </w:t>
      </w:r>
      <w:r w:rsidRPr="004E0F02">
        <w:rPr>
          <w:rFonts w:eastAsia="Times New Roman" w:cs="Times New Roman"/>
          <w:bCs/>
          <w:szCs w:val="24"/>
        </w:rPr>
        <w:t>projekcie ustawy jest tożsama</w:t>
      </w:r>
      <w:r w:rsidR="00E45B1D" w:rsidRPr="004E0F02">
        <w:rPr>
          <w:rFonts w:eastAsia="Times New Roman" w:cs="Times New Roman"/>
          <w:bCs/>
          <w:szCs w:val="24"/>
        </w:rPr>
        <w:t xml:space="preserve"> z </w:t>
      </w:r>
      <w:r w:rsidRPr="004E0F02">
        <w:rPr>
          <w:rFonts w:eastAsia="Times New Roman" w:cs="Times New Roman"/>
          <w:bCs/>
          <w:szCs w:val="24"/>
        </w:rPr>
        <w:t>tą przyjętą na gruncie ustawy</w:t>
      </w:r>
      <w:r w:rsidR="00E45B1D" w:rsidRPr="004E0F02">
        <w:rPr>
          <w:rFonts w:eastAsia="Times New Roman" w:cs="Times New Roman"/>
          <w:bCs/>
          <w:szCs w:val="24"/>
        </w:rPr>
        <w:t xml:space="preserve"> z </w:t>
      </w:r>
      <w:r w:rsidRPr="004E0F02">
        <w:rPr>
          <w:rFonts w:eastAsia="Times New Roman" w:cs="Times New Roman"/>
          <w:bCs/>
          <w:szCs w:val="24"/>
        </w:rPr>
        <w:t>201</w:t>
      </w:r>
      <w:r w:rsidR="00E45B1D" w:rsidRPr="004E0F02">
        <w:rPr>
          <w:rFonts w:eastAsia="Times New Roman" w:cs="Times New Roman"/>
          <w:bCs/>
          <w:szCs w:val="24"/>
        </w:rPr>
        <w:t>6 </w:t>
      </w:r>
      <w:r w:rsidRPr="004E0F02">
        <w:rPr>
          <w:rFonts w:eastAsia="Times New Roman" w:cs="Times New Roman"/>
          <w:bCs/>
          <w:szCs w:val="24"/>
        </w:rPr>
        <w:t xml:space="preserve">r. Pojęcie to należy odnieść do definicji </w:t>
      </w:r>
      <w:r w:rsidR="00E45B1D" w:rsidRPr="004E0F02">
        <w:rPr>
          <w:rFonts w:eastAsia="Times New Roman" w:cs="Times New Roman"/>
          <w:bCs/>
          <w:szCs w:val="24"/>
        </w:rPr>
        <w:t>„</w:t>
      </w:r>
      <w:r w:rsidRPr="004E0F02">
        <w:rPr>
          <w:rFonts w:eastAsia="Times New Roman" w:cs="Times New Roman"/>
          <w:bCs/>
          <w:szCs w:val="24"/>
        </w:rPr>
        <w:t>dokumentu</w:t>
      </w:r>
      <w:r w:rsidR="00E45B1D" w:rsidRPr="004E0F02">
        <w:rPr>
          <w:rFonts w:eastAsia="Times New Roman" w:cs="Times New Roman"/>
          <w:bCs/>
          <w:szCs w:val="24"/>
        </w:rPr>
        <w:t>”</w:t>
      </w:r>
      <w:r w:rsidRPr="004E0F02">
        <w:rPr>
          <w:rFonts w:eastAsia="Times New Roman" w:cs="Times New Roman"/>
          <w:bCs/>
          <w:szCs w:val="24"/>
        </w:rPr>
        <w:t xml:space="preserve"> w</w:t>
      </w:r>
      <w:r w:rsidR="00190DE1" w:rsidRPr="004E0F02">
        <w:rPr>
          <w:rFonts w:eastAsia="Times New Roman" w:cs="Times New Roman"/>
          <w:bCs/>
          <w:szCs w:val="24"/>
        </w:rPr>
        <w:t> </w:t>
      </w:r>
      <w:r w:rsidRPr="004E0F02">
        <w:rPr>
          <w:rFonts w:eastAsia="Times New Roman" w:cs="Times New Roman"/>
          <w:bCs/>
          <w:szCs w:val="24"/>
        </w:rPr>
        <w:t>rozumieniu</w:t>
      </w:r>
      <w:r w:rsidR="00E45B1D" w:rsidRPr="004E0F02">
        <w:rPr>
          <w:rFonts w:eastAsia="Times New Roman" w:cs="Times New Roman"/>
          <w:bCs/>
          <w:szCs w:val="24"/>
        </w:rPr>
        <w:t xml:space="preserve"> art. 2 pkt 6 </w:t>
      </w:r>
      <w:r w:rsidRPr="004E0F02">
        <w:rPr>
          <w:rFonts w:eastAsia="Times New Roman" w:cs="Times New Roman"/>
          <w:bCs/>
          <w:szCs w:val="24"/>
        </w:rPr>
        <w:t>dyrektywy 2019/1024/UE, zgodnie</w:t>
      </w:r>
      <w:r w:rsidR="00E45B1D" w:rsidRPr="004E0F02">
        <w:rPr>
          <w:rFonts w:eastAsia="Times New Roman" w:cs="Times New Roman"/>
          <w:bCs/>
          <w:szCs w:val="24"/>
        </w:rPr>
        <w:t xml:space="preserve"> z </w:t>
      </w:r>
      <w:r w:rsidRPr="004E0F02">
        <w:rPr>
          <w:rFonts w:eastAsia="Times New Roman" w:cs="Times New Roman"/>
          <w:bCs/>
          <w:szCs w:val="24"/>
        </w:rPr>
        <w:t xml:space="preserve">którym </w:t>
      </w:r>
      <w:r w:rsidR="00E45B1D" w:rsidRPr="004E0F02">
        <w:rPr>
          <w:rFonts w:eastAsia="Times New Roman" w:cs="Times New Roman"/>
          <w:bCs/>
          <w:szCs w:val="24"/>
        </w:rPr>
        <w:t>„</w:t>
      </w:r>
      <w:r w:rsidRPr="004E0F02">
        <w:rPr>
          <w:rFonts w:eastAsia="Times New Roman" w:cs="Times New Roman"/>
          <w:bCs/>
          <w:szCs w:val="24"/>
        </w:rPr>
        <w:t>dokument</w:t>
      </w:r>
      <w:r w:rsidR="00E45B1D" w:rsidRPr="004E0F02">
        <w:rPr>
          <w:rFonts w:eastAsia="Times New Roman" w:cs="Times New Roman"/>
          <w:bCs/>
          <w:szCs w:val="24"/>
        </w:rPr>
        <w:t>”</w:t>
      </w:r>
      <w:r w:rsidRPr="004E0F02">
        <w:rPr>
          <w:rFonts w:eastAsia="Times New Roman" w:cs="Times New Roman"/>
          <w:bCs/>
          <w:szCs w:val="24"/>
        </w:rPr>
        <w:t xml:space="preserve"> oznacza dowolną treść lub dowolną część tej treści niezależnie od jej nośnika (papier lub forma elektroniczna lub zapis dźwiękowy, wizualny bądź audiowizualny). Pojęcie informacji sektora publicznego wyznacza zakres przedmiotowy ponownego wykorzystywania. Dla zakwalifikowania określonej informacji jako informacji sektora publicznego nie ma znaczenia jej treść. Istotne jest natomiast jej utrwalenie oraz fakt posiadania przez podmioty udostępniające lub przekazujące ją</w:t>
      </w:r>
      <w:r w:rsidR="00E45B1D" w:rsidRPr="004E0F02">
        <w:rPr>
          <w:rFonts w:eastAsia="Times New Roman" w:cs="Times New Roman"/>
          <w:bCs/>
          <w:szCs w:val="24"/>
        </w:rPr>
        <w:t xml:space="preserve"> w </w:t>
      </w:r>
      <w:r w:rsidRPr="004E0F02">
        <w:rPr>
          <w:rFonts w:eastAsia="Times New Roman" w:cs="Times New Roman"/>
          <w:bCs/>
          <w:szCs w:val="24"/>
        </w:rPr>
        <w:t>celu ponownego wykorzystywania. Definicja informacji sektora publicznego jest szersza niż pojęcie informacji publicznej</w:t>
      </w:r>
      <w:r w:rsidR="00E45B1D" w:rsidRPr="004E0F02">
        <w:rPr>
          <w:rFonts w:eastAsia="Times New Roman" w:cs="Times New Roman"/>
          <w:bCs/>
          <w:szCs w:val="24"/>
        </w:rPr>
        <w:t xml:space="preserve"> i </w:t>
      </w:r>
      <w:r w:rsidRPr="004E0F02">
        <w:rPr>
          <w:rFonts w:eastAsia="Times New Roman" w:cs="Times New Roman"/>
          <w:bCs/>
          <w:szCs w:val="24"/>
        </w:rPr>
        <w:t>zawiera</w:t>
      </w:r>
      <w:r w:rsidR="00E45B1D" w:rsidRPr="004E0F02">
        <w:rPr>
          <w:rFonts w:eastAsia="Times New Roman" w:cs="Times New Roman"/>
          <w:bCs/>
          <w:szCs w:val="24"/>
        </w:rPr>
        <w:t xml:space="preserve"> w </w:t>
      </w:r>
      <w:r w:rsidRPr="004E0F02">
        <w:rPr>
          <w:rFonts w:eastAsia="Times New Roman" w:cs="Times New Roman"/>
          <w:bCs/>
          <w:szCs w:val="24"/>
        </w:rPr>
        <w:t>sobie informację publiczną oraz inne treści (wykraczające poza zakres pojęcia informacji publicznej)</w:t>
      </w:r>
      <w:r w:rsidR="00AA237F" w:rsidRPr="004E0F02">
        <w:rPr>
          <w:rFonts w:eastAsia="Times New Roman" w:cs="Times New Roman"/>
          <w:bCs/>
          <w:szCs w:val="24"/>
        </w:rPr>
        <w:t>, tj. np. zasoby bibliotek, archiwów i muzeów niebędących informacjami publicznymi oraz inne informacje niebędące zarówno informacją publiczną ani zasob</w:t>
      </w:r>
      <w:r w:rsidR="00C74BD9" w:rsidRPr="004E0F02">
        <w:rPr>
          <w:rFonts w:eastAsia="Times New Roman" w:cs="Times New Roman"/>
          <w:bCs/>
          <w:szCs w:val="24"/>
        </w:rPr>
        <w:t>em bibliotek, archiwów i muzeów</w:t>
      </w:r>
      <w:r w:rsidRPr="004E0F02">
        <w:rPr>
          <w:rFonts w:eastAsia="Times New Roman" w:cs="Times New Roman"/>
          <w:bCs/>
          <w:szCs w:val="24"/>
          <w:vertAlign w:val="superscript"/>
        </w:rPr>
        <w:footnoteReference w:id="23"/>
      </w:r>
      <w:r w:rsidRPr="004E0F02">
        <w:rPr>
          <w:rFonts w:eastAsia="Times New Roman" w:cs="Times New Roman"/>
          <w:szCs w:val="24"/>
          <w:vertAlign w:val="superscript"/>
        </w:rPr>
        <w:t>)</w:t>
      </w:r>
      <w:r w:rsidR="006431AE" w:rsidRPr="004E0F02">
        <w:rPr>
          <w:rFonts w:eastAsia="Times New Roman" w:cs="Times New Roman"/>
          <w:bCs/>
          <w:szCs w:val="24"/>
        </w:rPr>
        <w:t>.</w:t>
      </w:r>
    </w:p>
    <w:p w14:paraId="14B1F655" w14:textId="77777777" w:rsidR="00C74BD9" w:rsidRPr="004E0F02" w:rsidRDefault="00C74BD9" w:rsidP="00C74BD9">
      <w:pPr>
        <w:widowControl/>
        <w:spacing w:before="240" w:after="120" w:line="276" w:lineRule="auto"/>
        <w:ind w:left="360"/>
        <w:contextualSpacing/>
        <w:jc w:val="both"/>
        <w:rPr>
          <w:rFonts w:eastAsia="Times New Roman" w:cs="Times New Roman"/>
          <w:bCs/>
          <w:szCs w:val="24"/>
        </w:rPr>
      </w:pPr>
    </w:p>
    <w:p w14:paraId="33703367" w14:textId="77777777" w:rsidR="00A42682" w:rsidRPr="004E0F02" w:rsidRDefault="00A42682" w:rsidP="008C5ED1">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Interfejs programistyczny aplikacji (API).</w:t>
      </w:r>
    </w:p>
    <w:p w14:paraId="7270B80D" w14:textId="252A5860" w:rsidR="00A42682" w:rsidRPr="004E0F02" w:rsidRDefault="00A42682" w:rsidP="00921136">
      <w:pPr>
        <w:widowControl/>
        <w:spacing w:after="120" w:line="276" w:lineRule="auto"/>
        <w:ind w:left="340"/>
        <w:jc w:val="both"/>
        <w:rPr>
          <w:rFonts w:eastAsia="Times New Roman" w:cs="Times New Roman"/>
          <w:bCs/>
          <w:szCs w:val="24"/>
        </w:rPr>
      </w:pPr>
      <w:r w:rsidRPr="004E0F02">
        <w:rPr>
          <w:rFonts w:eastAsia="Times New Roman" w:cs="Times New Roman"/>
          <w:bCs/>
          <w:szCs w:val="24"/>
        </w:rPr>
        <w:t>Dla celów ustawowych zdefiniowano</w:t>
      </w:r>
      <w:r w:rsidR="00E45B1D" w:rsidRPr="004E0F02">
        <w:rPr>
          <w:rFonts w:eastAsia="Times New Roman" w:cs="Times New Roman"/>
          <w:bCs/>
          <w:szCs w:val="24"/>
        </w:rPr>
        <w:t xml:space="preserve"> w </w:t>
      </w:r>
      <w:r w:rsidRPr="004E0F02">
        <w:rPr>
          <w:rFonts w:eastAsia="Times New Roman" w:cs="Times New Roman"/>
          <w:bCs/>
          <w:szCs w:val="24"/>
        </w:rPr>
        <w:t>projekcie pojęcie interfejsu programistycznego aplikacji, przez który rozumie się zbiór technicznych funkcji umożliwiających połączenie i wzajemną wymianę danych lub metadanych pomiędzy programami komputerowymi lub systemami teleinformatycznymi.</w:t>
      </w:r>
      <w:r w:rsidR="006431AE" w:rsidRPr="004E0F02">
        <w:rPr>
          <w:rFonts w:eastAsia="Times New Roman" w:cs="Times New Roman"/>
          <w:bCs/>
          <w:szCs w:val="24"/>
        </w:rPr>
        <w:t xml:space="preserve"> </w:t>
      </w:r>
      <w:r w:rsidRPr="004E0F02">
        <w:rPr>
          <w:rFonts w:eastAsia="Times New Roman" w:cs="Times New Roman"/>
          <w:bCs/>
          <w:szCs w:val="24"/>
        </w:rPr>
        <w:t>W</w:t>
      </w:r>
      <w:r w:rsidR="006431AE" w:rsidRPr="004E0F02">
        <w:rPr>
          <w:rFonts w:eastAsia="Times New Roman" w:cs="Times New Roman"/>
          <w:bCs/>
          <w:szCs w:val="24"/>
        </w:rPr>
        <w:t> </w:t>
      </w:r>
      <w:r w:rsidRPr="004E0F02">
        <w:rPr>
          <w:rFonts w:eastAsia="Times New Roman" w:cs="Times New Roman"/>
          <w:bCs/>
          <w:szCs w:val="24"/>
        </w:rPr>
        <w:t>przepisach ustawy posłużono się skrótem: API</w:t>
      </w:r>
      <w:r w:rsidR="006431AE" w:rsidRPr="004E0F02">
        <w:rPr>
          <w:rFonts w:eastAsia="Times New Roman" w:cs="Times New Roman"/>
          <w:bCs/>
          <w:szCs w:val="24"/>
        </w:rPr>
        <w:t>.</w:t>
      </w:r>
    </w:p>
    <w:p w14:paraId="6951CF6B"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Metadane.</w:t>
      </w:r>
    </w:p>
    <w:p w14:paraId="028F3017" w14:textId="6275400A" w:rsidR="00A42682" w:rsidRPr="004E0F02" w:rsidRDefault="00A42682" w:rsidP="00D14F83">
      <w:pPr>
        <w:widowControl/>
        <w:spacing w:after="120" w:line="276" w:lineRule="auto"/>
        <w:ind w:left="340"/>
        <w:jc w:val="both"/>
        <w:rPr>
          <w:rFonts w:eastAsia="Times New Roman" w:cs="Times New Roman"/>
          <w:bCs/>
          <w:szCs w:val="24"/>
        </w:rPr>
      </w:pPr>
      <w:r w:rsidRPr="004E0F02">
        <w:rPr>
          <w:rFonts w:eastAsia="Times New Roman" w:cs="Times New Roman"/>
          <w:bCs/>
          <w:szCs w:val="24"/>
        </w:rPr>
        <w:t>W projekcie ustawy zdefiniowane zostały również metadane, przez które rozumie się ustrukturyzowane informacje opisujące, tłumaczące, lokalizujące</w:t>
      </w:r>
      <w:r w:rsidR="00E45B1D" w:rsidRPr="004E0F02">
        <w:rPr>
          <w:rFonts w:eastAsia="Times New Roman" w:cs="Times New Roman"/>
          <w:bCs/>
          <w:szCs w:val="24"/>
        </w:rPr>
        <w:t xml:space="preserve"> i </w:t>
      </w:r>
      <w:r w:rsidRPr="004E0F02">
        <w:rPr>
          <w:rFonts w:eastAsia="Times New Roman" w:cs="Times New Roman"/>
          <w:bCs/>
          <w:szCs w:val="24"/>
        </w:rPr>
        <w:t>ułatwiające odnalezienie, wykorzystanie lub zarządzanie informacjami, na które składają się w</w:t>
      </w:r>
      <w:r w:rsidR="00C64EC5" w:rsidRPr="004E0F02">
        <w:rPr>
          <w:rFonts w:eastAsia="Times New Roman" w:cs="Times New Roman"/>
          <w:bCs/>
          <w:szCs w:val="24"/>
        </w:rPr>
        <w:t> </w:t>
      </w:r>
      <w:r w:rsidRPr="004E0F02">
        <w:rPr>
          <w:rFonts w:eastAsia="Times New Roman" w:cs="Times New Roman"/>
          <w:bCs/>
          <w:szCs w:val="24"/>
        </w:rPr>
        <w:t>szczególności elementy,</w:t>
      </w:r>
      <w:r w:rsidR="00E45B1D" w:rsidRPr="004E0F02">
        <w:rPr>
          <w:rFonts w:eastAsia="Times New Roman" w:cs="Times New Roman"/>
          <w:bCs/>
          <w:szCs w:val="24"/>
        </w:rPr>
        <w:t xml:space="preserve"> o </w:t>
      </w:r>
      <w:r w:rsidRPr="004E0F02">
        <w:rPr>
          <w:rFonts w:eastAsia="Times New Roman" w:cs="Times New Roman"/>
          <w:bCs/>
          <w:szCs w:val="24"/>
        </w:rPr>
        <w:t>których mowa</w:t>
      </w:r>
      <w:r w:rsidR="00E45B1D" w:rsidRPr="004E0F02">
        <w:rPr>
          <w:rFonts w:eastAsia="Times New Roman" w:cs="Times New Roman"/>
          <w:bCs/>
          <w:szCs w:val="24"/>
        </w:rPr>
        <w:t xml:space="preserve"> w </w:t>
      </w:r>
      <w:r w:rsidRPr="004E0F02">
        <w:rPr>
          <w:rFonts w:eastAsia="Times New Roman" w:cs="Times New Roman"/>
          <w:bCs/>
          <w:szCs w:val="24"/>
        </w:rPr>
        <w:t xml:space="preserve">przepisach </w:t>
      </w:r>
      <w:r w:rsidR="00EF3522" w:rsidRPr="004E0F02">
        <w:rPr>
          <w:rFonts w:eastAsia="Times New Roman" w:cs="Times New Roman"/>
          <w:bCs/>
          <w:szCs w:val="24"/>
        </w:rPr>
        <w:t xml:space="preserve">wykonawczych </w:t>
      </w:r>
      <w:r w:rsidRPr="004E0F02">
        <w:rPr>
          <w:rFonts w:eastAsia="Times New Roman" w:cs="Times New Roman"/>
          <w:bCs/>
          <w:szCs w:val="24"/>
        </w:rPr>
        <w:t>wydanych na podstawie</w:t>
      </w:r>
      <w:r w:rsidR="00E45B1D" w:rsidRPr="004E0F02">
        <w:rPr>
          <w:rFonts w:eastAsia="Times New Roman" w:cs="Times New Roman"/>
          <w:bCs/>
          <w:szCs w:val="24"/>
        </w:rPr>
        <w:t xml:space="preserve"> </w:t>
      </w:r>
      <w:r w:rsidR="00EF3522" w:rsidRPr="004E0F02">
        <w:rPr>
          <w:rFonts w:eastAsia="Times New Roman" w:cs="Times New Roman"/>
          <w:bCs/>
          <w:szCs w:val="24"/>
        </w:rPr>
        <w:t xml:space="preserve">projektowanej ustawy. </w:t>
      </w:r>
    </w:p>
    <w:p w14:paraId="4A348B44"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Otwarte dane.</w:t>
      </w:r>
    </w:p>
    <w:p w14:paraId="5CCF9049" w14:textId="6578B46E" w:rsidR="00A42682" w:rsidRPr="004E0F02" w:rsidRDefault="00A42682" w:rsidP="00D14F83">
      <w:pPr>
        <w:widowControl/>
        <w:spacing w:after="120" w:line="276" w:lineRule="auto"/>
        <w:ind w:left="340"/>
        <w:jc w:val="both"/>
        <w:rPr>
          <w:rFonts w:eastAsia="Times New Roman" w:cs="Times New Roman"/>
          <w:bCs/>
          <w:szCs w:val="24"/>
        </w:rPr>
      </w:pPr>
      <w:r w:rsidRPr="004E0F02">
        <w:rPr>
          <w:rFonts w:eastAsia="Times New Roman" w:cs="Times New Roman"/>
          <w:bCs/>
          <w:szCs w:val="24"/>
        </w:rPr>
        <w:t>Pod pojęciem otwartych danych</w:t>
      </w:r>
      <w:r w:rsidR="00E45B1D" w:rsidRPr="004E0F02">
        <w:rPr>
          <w:rFonts w:eastAsia="Times New Roman" w:cs="Times New Roman"/>
          <w:bCs/>
          <w:szCs w:val="24"/>
        </w:rPr>
        <w:t xml:space="preserve"> w </w:t>
      </w:r>
      <w:r w:rsidRPr="004E0F02">
        <w:rPr>
          <w:rFonts w:eastAsia="Times New Roman" w:cs="Times New Roman"/>
          <w:bCs/>
          <w:szCs w:val="24"/>
        </w:rPr>
        <w:t xml:space="preserve">projekcie ustawy rozumie się informacje sektora publicznego </w:t>
      </w:r>
      <w:r w:rsidR="00EF3522" w:rsidRPr="004E0F02">
        <w:rPr>
          <w:rFonts w:eastAsia="Times New Roman" w:cs="Times New Roman"/>
          <w:bCs/>
          <w:szCs w:val="24"/>
        </w:rPr>
        <w:t xml:space="preserve">udostępniane lub przekazywane </w:t>
      </w:r>
      <w:r w:rsidR="00E45B1D" w:rsidRPr="004E0F02">
        <w:rPr>
          <w:rFonts w:eastAsia="Times New Roman" w:cs="Times New Roman"/>
          <w:bCs/>
          <w:szCs w:val="24"/>
        </w:rPr>
        <w:t>w </w:t>
      </w:r>
      <w:r w:rsidRPr="004E0F02">
        <w:rPr>
          <w:rFonts w:eastAsia="Times New Roman" w:cs="Times New Roman"/>
          <w:bCs/>
          <w:szCs w:val="24"/>
        </w:rPr>
        <w:t xml:space="preserve">postaci elektronicznej, </w:t>
      </w:r>
      <w:r w:rsidR="00EF3522" w:rsidRPr="004E0F02">
        <w:rPr>
          <w:rFonts w:eastAsia="Times New Roman" w:cs="Times New Roman"/>
          <w:bCs/>
          <w:szCs w:val="24"/>
        </w:rPr>
        <w:t xml:space="preserve">kompletne, aktualne, niezastrzeżone, w wersji źródłowej w otwartym formacie przeznaczonym do odczytu maszynowego, do bezpłatnego ponownego wykorzystywania na tych samych zasadach dla każdego użytkownika, bez konieczności potwierdzania tożsamości, bezwarunkowo lub </w:t>
      </w:r>
      <w:r w:rsidR="00EF3522" w:rsidRPr="004E0F02">
        <w:rPr>
          <w:rFonts w:eastAsia="Times New Roman" w:cs="Times New Roman"/>
          <w:bCs/>
          <w:szCs w:val="24"/>
        </w:rPr>
        <w:lastRenderedPageBreak/>
        <w:t>z</w:t>
      </w:r>
      <w:r w:rsidR="00C74BD9" w:rsidRPr="004E0F02">
        <w:rPr>
          <w:rFonts w:eastAsia="Times New Roman" w:cs="Times New Roman"/>
          <w:bCs/>
          <w:szCs w:val="24"/>
        </w:rPr>
        <w:t> </w:t>
      </w:r>
      <w:r w:rsidR="00EF3522" w:rsidRPr="004E0F02">
        <w:rPr>
          <w:rFonts w:eastAsia="Times New Roman" w:cs="Times New Roman"/>
          <w:bCs/>
          <w:szCs w:val="24"/>
        </w:rPr>
        <w:t xml:space="preserve">zastrzeżeniem warunków, o których mowa w rozdziale 3. </w:t>
      </w:r>
      <w:r w:rsidRPr="004E0F02">
        <w:rPr>
          <w:rFonts w:eastAsia="Times New Roman" w:cs="Times New Roman"/>
          <w:bCs/>
          <w:szCs w:val="24"/>
        </w:rPr>
        <w:t>Otwarte dane</w:t>
      </w:r>
      <w:r w:rsidR="00E45B1D" w:rsidRPr="004E0F02">
        <w:rPr>
          <w:rFonts w:eastAsia="Times New Roman" w:cs="Times New Roman"/>
          <w:bCs/>
          <w:szCs w:val="24"/>
        </w:rPr>
        <w:t xml:space="preserve"> w </w:t>
      </w:r>
      <w:r w:rsidRPr="004E0F02">
        <w:rPr>
          <w:rFonts w:eastAsia="Times New Roman" w:cs="Times New Roman"/>
          <w:bCs/>
          <w:szCs w:val="24"/>
        </w:rPr>
        <w:t>rozumieniu ustawowym powinny zatem</w:t>
      </w:r>
      <w:r w:rsidR="00E45B1D" w:rsidRPr="004E0F02">
        <w:rPr>
          <w:rFonts w:eastAsia="Times New Roman" w:cs="Times New Roman"/>
          <w:bCs/>
          <w:szCs w:val="24"/>
        </w:rPr>
        <w:t xml:space="preserve"> </w:t>
      </w:r>
      <w:r w:rsidR="00EF3522" w:rsidRPr="004E0F02">
        <w:rPr>
          <w:rFonts w:eastAsia="Times New Roman" w:cs="Times New Roman"/>
          <w:bCs/>
          <w:szCs w:val="24"/>
        </w:rPr>
        <w:t xml:space="preserve">spełniać </w:t>
      </w:r>
      <w:r w:rsidR="00E45B1D" w:rsidRPr="004E0F02">
        <w:rPr>
          <w:rFonts w:eastAsia="Times New Roman" w:cs="Times New Roman"/>
          <w:bCs/>
          <w:szCs w:val="24"/>
        </w:rPr>
        <w:t>w </w:t>
      </w:r>
      <w:r w:rsidRPr="004E0F02">
        <w:rPr>
          <w:rFonts w:eastAsia="Times New Roman" w:cs="Times New Roman"/>
          <w:bCs/>
          <w:szCs w:val="24"/>
        </w:rPr>
        <w:t>zasadniczej części filary otwartości zdefiniowane</w:t>
      </w:r>
      <w:r w:rsidR="00E45B1D" w:rsidRPr="004E0F02">
        <w:rPr>
          <w:rFonts w:eastAsia="Times New Roman" w:cs="Times New Roman"/>
          <w:bCs/>
          <w:szCs w:val="24"/>
        </w:rPr>
        <w:t xml:space="preserve"> w </w:t>
      </w:r>
      <w:r w:rsidRPr="004E0F02">
        <w:rPr>
          <w:rFonts w:eastAsia="Times New Roman" w:cs="Times New Roman"/>
          <w:bCs/>
          <w:szCs w:val="24"/>
        </w:rPr>
        <w:t xml:space="preserve">Programie </w:t>
      </w:r>
      <w:r w:rsidR="00EF3522" w:rsidRPr="004E0F02">
        <w:rPr>
          <w:rFonts w:eastAsia="Times New Roman" w:cs="Times New Roman"/>
          <w:bCs/>
          <w:szCs w:val="24"/>
        </w:rPr>
        <w:t>o</w:t>
      </w:r>
      <w:r w:rsidRPr="004E0F02">
        <w:rPr>
          <w:rFonts w:eastAsia="Times New Roman" w:cs="Times New Roman"/>
          <w:bCs/>
          <w:szCs w:val="24"/>
        </w:rPr>
        <w:t xml:space="preserve">twierania </w:t>
      </w:r>
      <w:r w:rsidR="00EF3522" w:rsidRPr="004E0F02">
        <w:rPr>
          <w:rFonts w:eastAsia="Times New Roman" w:cs="Times New Roman"/>
          <w:bCs/>
          <w:szCs w:val="24"/>
        </w:rPr>
        <w:t>d</w:t>
      </w:r>
      <w:r w:rsidRPr="004E0F02">
        <w:rPr>
          <w:rFonts w:eastAsia="Times New Roman" w:cs="Times New Roman"/>
          <w:bCs/>
          <w:szCs w:val="24"/>
        </w:rPr>
        <w:t xml:space="preserve">anych </w:t>
      </w:r>
      <w:r w:rsidR="00EF3522" w:rsidRPr="004E0F02">
        <w:rPr>
          <w:rFonts w:eastAsia="Times New Roman" w:cs="Times New Roman"/>
          <w:bCs/>
          <w:szCs w:val="24"/>
        </w:rPr>
        <w:t>p</w:t>
      </w:r>
      <w:r w:rsidRPr="004E0F02">
        <w:rPr>
          <w:rFonts w:eastAsia="Times New Roman" w:cs="Times New Roman"/>
          <w:bCs/>
          <w:szCs w:val="24"/>
        </w:rPr>
        <w:t>ublicznych</w:t>
      </w:r>
      <w:r w:rsidR="00E45B1D" w:rsidRPr="004E0F02">
        <w:rPr>
          <w:rFonts w:eastAsia="Times New Roman" w:cs="Times New Roman"/>
          <w:bCs/>
          <w:szCs w:val="24"/>
        </w:rPr>
        <w:t xml:space="preserve"> z </w:t>
      </w:r>
      <w:r w:rsidRPr="004E0F02">
        <w:rPr>
          <w:rFonts w:eastAsia="Times New Roman" w:cs="Times New Roman"/>
          <w:bCs/>
          <w:szCs w:val="24"/>
        </w:rPr>
        <w:t>201</w:t>
      </w:r>
      <w:r w:rsidR="00E45B1D" w:rsidRPr="004E0F02">
        <w:rPr>
          <w:rFonts w:eastAsia="Times New Roman" w:cs="Times New Roman"/>
          <w:bCs/>
          <w:szCs w:val="24"/>
        </w:rPr>
        <w:t>6 </w:t>
      </w:r>
      <w:r w:rsidRPr="004E0F02">
        <w:rPr>
          <w:rFonts w:eastAsia="Times New Roman" w:cs="Times New Roman"/>
          <w:bCs/>
          <w:szCs w:val="24"/>
        </w:rPr>
        <w:t xml:space="preserve">r. oraz Standardzie prawnym </w:t>
      </w:r>
      <w:r w:rsidR="00EF3522" w:rsidRPr="004E0F02">
        <w:rPr>
          <w:rFonts w:eastAsia="Times New Roman" w:cs="Times New Roman"/>
          <w:bCs/>
          <w:szCs w:val="24"/>
        </w:rPr>
        <w:t xml:space="preserve">otwartości </w:t>
      </w:r>
      <w:r w:rsidRPr="004E0F02">
        <w:rPr>
          <w:rFonts w:eastAsia="Times New Roman" w:cs="Times New Roman"/>
          <w:bCs/>
          <w:szCs w:val="24"/>
        </w:rPr>
        <w:t>danych. Dane spełniające filary otwartości, to dane:</w:t>
      </w:r>
    </w:p>
    <w:p w14:paraId="21DF3689" w14:textId="43357722" w:rsidR="00A42682" w:rsidRPr="004E0F02" w:rsidRDefault="00A42682" w:rsidP="004D2DA7">
      <w:pPr>
        <w:widowControl/>
        <w:numPr>
          <w:ilvl w:val="0"/>
          <w:numId w:val="17"/>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 xml:space="preserve">dostępne </w:t>
      </w:r>
      <w:r w:rsidR="00E45B1D" w:rsidRPr="004E0F02">
        <w:rPr>
          <w:rFonts w:eastAsia="Times New Roman" w:cs="Times New Roman"/>
          <w:bCs/>
          <w:szCs w:val="24"/>
        </w:rPr>
        <w:noBreakHyphen/>
        <w:t xml:space="preserve"> </w:t>
      </w:r>
      <w:r w:rsidRPr="004E0F02">
        <w:rPr>
          <w:rFonts w:eastAsia="Times New Roman" w:cs="Times New Roman"/>
          <w:bCs/>
          <w:szCs w:val="24"/>
        </w:rPr>
        <w:t>dane udostępniane bez żadnych ograniczeń, szerokiemu gronu użytkowników, do dowolnych celów. Dane spełniające warunek dostępności powinny być dostępne dla każdego, domyślnie jawne (jawność danych może zostać ograniczona</w:t>
      </w:r>
      <w:r w:rsidR="00E45B1D" w:rsidRPr="004E0F02">
        <w:rPr>
          <w:rFonts w:eastAsia="Times New Roman" w:cs="Times New Roman"/>
          <w:bCs/>
          <w:szCs w:val="24"/>
        </w:rPr>
        <w:t xml:space="preserve"> w </w:t>
      </w:r>
      <w:r w:rsidRPr="004E0F02">
        <w:rPr>
          <w:rFonts w:eastAsia="Times New Roman" w:cs="Times New Roman"/>
          <w:bCs/>
          <w:szCs w:val="24"/>
        </w:rPr>
        <w:t>drodze wyjątku i jedynie</w:t>
      </w:r>
      <w:r w:rsidR="00E45B1D" w:rsidRPr="004E0F02">
        <w:rPr>
          <w:rFonts w:eastAsia="Times New Roman" w:cs="Times New Roman"/>
          <w:bCs/>
          <w:szCs w:val="24"/>
        </w:rPr>
        <w:t xml:space="preserve"> z </w:t>
      </w:r>
      <w:r w:rsidRPr="004E0F02">
        <w:rPr>
          <w:rFonts w:eastAsia="Times New Roman" w:cs="Times New Roman"/>
          <w:bCs/>
          <w:szCs w:val="24"/>
        </w:rPr>
        <w:t>uwagi na konieczności ochrony prawnie uzasadnionych interesów) oraz dostępne niezależnie od celu, jakiemu mają służyć (niezależnie od tego, do czego zostaną wtórnie wykorzystane przez użytkowników),</w:t>
      </w:r>
    </w:p>
    <w:p w14:paraId="0B3BDC79" w14:textId="6C81034B" w:rsidR="00A42682" w:rsidRPr="004E0F02" w:rsidRDefault="00A42682" w:rsidP="004D2DA7">
      <w:pPr>
        <w:widowControl/>
        <w:numPr>
          <w:ilvl w:val="0"/>
          <w:numId w:val="17"/>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upublicznione</w:t>
      </w:r>
      <w:r w:rsidR="00E45B1D" w:rsidRPr="004E0F02">
        <w:rPr>
          <w:rFonts w:eastAsia="Times New Roman" w:cs="Times New Roman"/>
          <w:bCs/>
          <w:szCs w:val="24"/>
        </w:rPr>
        <w:t xml:space="preserve"> w </w:t>
      </w:r>
      <w:r w:rsidRPr="004E0F02">
        <w:rPr>
          <w:rFonts w:eastAsia="Times New Roman" w:cs="Times New Roman"/>
          <w:bCs/>
          <w:szCs w:val="24"/>
        </w:rPr>
        <w:t xml:space="preserve">wersji źródłowej </w:t>
      </w:r>
      <w:r w:rsidR="00E45B1D" w:rsidRPr="004E0F02">
        <w:rPr>
          <w:rFonts w:eastAsia="Times New Roman" w:cs="Times New Roman"/>
          <w:bCs/>
          <w:szCs w:val="24"/>
        </w:rPr>
        <w:noBreakHyphen/>
        <w:t xml:space="preserve"> </w:t>
      </w:r>
      <w:r w:rsidRPr="004E0F02">
        <w:rPr>
          <w:rFonts w:eastAsia="Times New Roman" w:cs="Times New Roman"/>
          <w:bCs/>
          <w:szCs w:val="24"/>
        </w:rPr>
        <w:t>dane udostępniane</w:t>
      </w:r>
      <w:r w:rsidR="00E45B1D" w:rsidRPr="004E0F02">
        <w:rPr>
          <w:rFonts w:eastAsia="Times New Roman" w:cs="Times New Roman"/>
          <w:bCs/>
          <w:szCs w:val="24"/>
        </w:rPr>
        <w:t xml:space="preserve"> w </w:t>
      </w:r>
      <w:r w:rsidRPr="004E0F02">
        <w:rPr>
          <w:rFonts w:eastAsia="Times New Roman" w:cs="Times New Roman"/>
          <w:bCs/>
          <w:szCs w:val="24"/>
        </w:rPr>
        <w:t>oryginalnej, niezmienionej i niezagregowanej formie (tzw. dane surowe,</w:t>
      </w:r>
      <w:r w:rsidR="00E45B1D" w:rsidRPr="004E0F02">
        <w:rPr>
          <w:rFonts w:eastAsia="Times New Roman" w:cs="Times New Roman"/>
          <w:bCs/>
          <w:szCs w:val="24"/>
        </w:rPr>
        <w:t xml:space="preserve"> a </w:t>
      </w:r>
      <w:r w:rsidRPr="004E0F02">
        <w:rPr>
          <w:rFonts w:eastAsia="Times New Roman" w:cs="Times New Roman"/>
          <w:bCs/>
          <w:szCs w:val="24"/>
        </w:rPr>
        <w:t>nie np.</w:t>
      </w:r>
      <w:r w:rsidR="00E45B1D" w:rsidRPr="004E0F02">
        <w:rPr>
          <w:rFonts w:eastAsia="Times New Roman" w:cs="Times New Roman"/>
          <w:bCs/>
          <w:szCs w:val="24"/>
        </w:rPr>
        <w:t xml:space="preserve"> w </w:t>
      </w:r>
      <w:r w:rsidRPr="004E0F02">
        <w:rPr>
          <w:rFonts w:eastAsia="Times New Roman" w:cs="Times New Roman"/>
          <w:bCs/>
          <w:szCs w:val="24"/>
        </w:rPr>
        <w:t>postaci analiz, podsumowań, skrótów czy streszczeń),</w:t>
      </w:r>
    </w:p>
    <w:p w14:paraId="1285B200" w14:textId="6E1DFB90" w:rsidR="00A42682" w:rsidRPr="004E0F02" w:rsidRDefault="00A42682" w:rsidP="004D2DA7">
      <w:pPr>
        <w:widowControl/>
        <w:numPr>
          <w:ilvl w:val="0"/>
          <w:numId w:val="17"/>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 xml:space="preserve">kompletne </w:t>
      </w:r>
      <w:r w:rsidR="00E45B1D" w:rsidRPr="004E0F02">
        <w:rPr>
          <w:rFonts w:eastAsia="Times New Roman" w:cs="Times New Roman"/>
          <w:bCs/>
          <w:szCs w:val="24"/>
        </w:rPr>
        <w:noBreakHyphen/>
        <w:t xml:space="preserve"> </w:t>
      </w:r>
      <w:r w:rsidRPr="004E0F02">
        <w:rPr>
          <w:rFonts w:eastAsia="Times New Roman" w:cs="Times New Roman"/>
          <w:bCs/>
          <w:szCs w:val="24"/>
        </w:rPr>
        <w:t>dane udostępniane</w:t>
      </w:r>
      <w:r w:rsidR="00E45B1D" w:rsidRPr="004E0F02">
        <w:rPr>
          <w:rFonts w:eastAsia="Times New Roman" w:cs="Times New Roman"/>
          <w:bCs/>
          <w:szCs w:val="24"/>
        </w:rPr>
        <w:t xml:space="preserve"> w </w:t>
      </w:r>
      <w:r w:rsidRPr="004E0F02">
        <w:rPr>
          <w:rFonts w:eastAsia="Times New Roman" w:cs="Times New Roman"/>
          <w:bCs/>
          <w:szCs w:val="24"/>
        </w:rPr>
        <w:t>całości, bez wyłączania poszczególnych części danych i zgodne ze stanem faktycznym. Ewentualne wyłączenie niektórych informacji jest możliwe jedynie, kiedy wymagają tego przepisy prawa (np. część danych podlega anonimizacji ze względu na ochronę danych osobowych), a</w:t>
      </w:r>
      <w:r w:rsidR="008C5ED1" w:rsidRPr="004E0F02">
        <w:rPr>
          <w:rFonts w:eastAsia="Times New Roman" w:cs="Times New Roman"/>
          <w:bCs/>
          <w:szCs w:val="24"/>
        </w:rPr>
        <w:t> </w:t>
      </w:r>
      <w:r w:rsidRPr="004E0F02">
        <w:rPr>
          <w:rFonts w:eastAsia="Times New Roman" w:cs="Times New Roman"/>
          <w:bCs/>
          <w:szCs w:val="24"/>
        </w:rPr>
        <w:t>dysponent danych poinformuje</w:t>
      </w:r>
      <w:r w:rsidR="00E45B1D" w:rsidRPr="004E0F02">
        <w:rPr>
          <w:rFonts w:eastAsia="Times New Roman" w:cs="Times New Roman"/>
          <w:bCs/>
          <w:szCs w:val="24"/>
        </w:rPr>
        <w:t xml:space="preserve"> o </w:t>
      </w:r>
      <w:r w:rsidRPr="004E0F02">
        <w:rPr>
          <w:rFonts w:eastAsia="Times New Roman" w:cs="Times New Roman"/>
          <w:bCs/>
          <w:szCs w:val="24"/>
        </w:rPr>
        <w:t>przyczynach wyłączenia,</w:t>
      </w:r>
    </w:p>
    <w:p w14:paraId="2E0A6BA3" w14:textId="5174A3C1" w:rsidR="00A42682" w:rsidRPr="004E0F02" w:rsidRDefault="00A42682" w:rsidP="004D2DA7">
      <w:pPr>
        <w:widowControl/>
        <w:numPr>
          <w:ilvl w:val="0"/>
          <w:numId w:val="17"/>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 xml:space="preserve">aktualne </w:t>
      </w:r>
      <w:r w:rsidR="00E45B1D" w:rsidRPr="004E0F02">
        <w:rPr>
          <w:rFonts w:eastAsia="Times New Roman" w:cs="Times New Roman"/>
          <w:bCs/>
          <w:szCs w:val="24"/>
        </w:rPr>
        <w:noBreakHyphen/>
        <w:t xml:space="preserve"> </w:t>
      </w:r>
      <w:r w:rsidRPr="004E0F02">
        <w:rPr>
          <w:rFonts w:eastAsia="Times New Roman" w:cs="Times New Roman"/>
          <w:bCs/>
          <w:szCs w:val="24"/>
        </w:rPr>
        <w:t>dane udostępniane niezwłocznie po ich wytworzeniu lub pozyskaniu. Udostępnianie danych najnowszych</w:t>
      </w:r>
      <w:r w:rsidR="00E45B1D" w:rsidRPr="004E0F02">
        <w:rPr>
          <w:rFonts w:eastAsia="Times New Roman" w:cs="Times New Roman"/>
          <w:bCs/>
          <w:szCs w:val="24"/>
        </w:rPr>
        <w:t xml:space="preserve"> i </w:t>
      </w:r>
      <w:r w:rsidRPr="004E0F02">
        <w:rPr>
          <w:rFonts w:eastAsia="Times New Roman" w:cs="Times New Roman"/>
          <w:bCs/>
          <w:szCs w:val="24"/>
        </w:rPr>
        <w:t>bieżąco aktualizowanych</w:t>
      </w:r>
      <w:r w:rsidR="00E45B1D" w:rsidRPr="004E0F02">
        <w:rPr>
          <w:rFonts w:eastAsia="Times New Roman" w:cs="Times New Roman"/>
          <w:bCs/>
          <w:szCs w:val="24"/>
        </w:rPr>
        <w:t xml:space="preserve"> w </w:t>
      </w:r>
      <w:r w:rsidRPr="004E0F02">
        <w:rPr>
          <w:rFonts w:eastAsia="Times New Roman" w:cs="Times New Roman"/>
          <w:bCs/>
          <w:szCs w:val="24"/>
        </w:rPr>
        <w:t>terminach dostosowywanych do rodzaju danych</w:t>
      </w:r>
      <w:r w:rsidR="00E45B1D" w:rsidRPr="004E0F02">
        <w:rPr>
          <w:rFonts w:eastAsia="Times New Roman" w:cs="Times New Roman"/>
          <w:bCs/>
          <w:szCs w:val="24"/>
        </w:rPr>
        <w:t xml:space="preserve"> i </w:t>
      </w:r>
      <w:r w:rsidRPr="004E0F02">
        <w:rPr>
          <w:rFonts w:eastAsia="Times New Roman" w:cs="Times New Roman"/>
          <w:bCs/>
          <w:szCs w:val="24"/>
        </w:rPr>
        <w:t>dynamiki ich zmian wraz</w:t>
      </w:r>
      <w:r w:rsidR="00E45B1D" w:rsidRPr="004E0F02">
        <w:rPr>
          <w:rFonts w:eastAsia="Times New Roman" w:cs="Times New Roman"/>
          <w:bCs/>
          <w:szCs w:val="24"/>
        </w:rPr>
        <w:t xml:space="preserve"> z </w:t>
      </w:r>
      <w:r w:rsidRPr="004E0F02">
        <w:rPr>
          <w:rFonts w:eastAsia="Times New Roman" w:cs="Times New Roman"/>
          <w:bCs/>
          <w:szCs w:val="24"/>
        </w:rPr>
        <w:t>oznaczeniem daty udostępnienia danych, daty ostatniej aktualizacji danych oraz informacji o</w:t>
      </w:r>
      <w:r w:rsidR="008C5ED1" w:rsidRPr="004E0F02">
        <w:rPr>
          <w:rFonts w:eastAsia="Times New Roman" w:cs="Times New Roman"/>
          <w:bCs/>
          <w:szCs w:val="24"/>
        </w:rPr>
        <w:t> </w:t>
      </w:r>
      <w:r w:rsidRPr="004E0F02">
        <w:rPr>
          <w:rFonts w:eastAsia="Times New Roman" w:cs="Times New Roman"/>
          <w:bCs/>
          <w:szCs w:val="24"/>
        </w:rPr>
        <w:t>częstotliwości aktualizacji danych,</w:t>
      </w:r>
    </w:p>
    <w:p w14:paraId="60D02A8C" w14:textId="3729F243" w:rsidR="00A42682" w:rsidRPr="004E0F02" w:rsidRDefault="00A42682" w:rsidP="004D2DA7">
      <w:pPr>
        <w:widowControl/>
        <w:numPr>
          <w:ilvl w:val="0"/>
          <w:numId w:val="17"/>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 xml:space="preserve">odczytywalne maszynowo </w:t>
      </w:r>
      <w:r w:rsidR="00E45B1D" w:rsidRPr="004E0F02">
        <w:rPr>
          <w:rFonts w:eastAsia="Times New Roman" w:cs="Times New Roman"/>
          <w:bCs/>
          <w:szCs w:val="24"/>
        </w:rPr>
        <w:noBreakHyphen/>
        <w:t xml:space="preserve"> </w:t>
      </w:r>
      <w:r w:rsidRPr="004E0F02">
        <w:rPr>
          <w:rFonts w:eastAsia="Times New Roman" w:cs="Times New Roman"/>
          <w:bCs/>
          <w:szCs w:val="24"/>
        </w:rPr>
        <w:t>dane udostępniane</w:t>
      </w:r>
      <w:r w:rsidR="00E45B1D" w:rsidRPr="004E0F02">
        <w:rPr>
          <w:rFonts w:eastAsia="Times New Roman" w:cs="Times New Roman"/>
          <w:bCs/>
          <w:szCs w:val="24"/>
        </w:rPr>
        <w:t xml:space="preserve"> w </w:t>
      </w:r>
      <w:r w:rsidRPr="004E0F02">
        <w:rPr>
          <w:rFonts w:eastAsia="Times New Roman" w:cs="Times New Roman"/>
          <w:bCs/>
          <w:szCs w:val="24"/>
        </w:rPr>
        <w:t>formatach umożliwiających automatyczne odczytywanie przez przeglądarkę lub system komputerowy, tj. w formatach ułatwiających dostęp</w:t>
      </w:r>
      <w:r w:rsidR="00E45B1D" w:rsidRPr="004E0F02">
        <w:rPr>
          <w:rFonts w:eastAsia="Times New Roman" w:cs="Times New Roman"/>
          <w:bCs/>
          <w:szCs w:val="24"/>
        </w:rPr>
        <w:t xml:space="preserve"> i </w:t>
      </w:r>
      <w:r w:rsidRPr="004E0F02">
        <w:rPr>
          <w:rFonts w:eastAsia="Times New Roman" w:cs="Times New Roman"/>
          <w:bCs/>
          <w:szCs w:val="24"/>
        </w:rPr>
        <w:t>pozwalających na bardziej zaawansowane analizy dużych ilości informacji (np. formaty XML, JSON, RDF, CSV),</w:t>
      </w:r>
    </w:p>
    <w:p w14:paraId="2CFD3100" w14:textId="4BE5B919" w:rsidR="00A42682" w:rsidRPr="004E0F02" w:rsidRDefault="00A42682" w:rsidP="004D2DA7">
      <w:pPr>
        <w:widowControl/>
        <w:numPr>
          <w:ilvl w:val="0"/>
          <w:numId w:val="17"/>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 xml:space="preserve">udostępnione niedyskryminująco </w:t>
      </w:r>
      <w:r w:rsidR="00E45B1D" w:rsidRPr="004E0F02">
        <w:rPr>
          <w:rFonts w:eastAsia="Times New Roman" w:cs="Times New Roman"/>
          <w:bCs/>
          <w:szCs w:val="24"/>
        </w:rPr>
        <w:noBreakHyphen/>
        <w:t xml:space="preserve"> </w:t>
      </w:r>
      <w:r w:rsidRPr="004E0F02">
        <w:rPr>
          <w:rFonts w:eastAsia="Times New Roman" w:cs="Times New Roman"/>
          <w:bCs/>
          <w:szCs w:val="24"/>
        </w:rPr>
        <w:t>dane udostępniane każdemu bez konieczności rejestracji, posiadania konta internetowego, weryfikacji tożsamości poprzez podawanie hasła, loginu czy podpisywania jakichkolwiek umów. Zasada niedyskryminacji to również równe traktowanie użytkowników,</w:t>
      </w:r>
      <w:r w:rsidR="00E45B1D" w:rsidRPr="004E0F02">
        <w:rPr>
          <w:rFonts w:eastAsia="Times New Roman" w:cs="Times New Roman"/>
          <w:bCs/>
          <w:szCs w:val="24"/>
        </w:rPr>
        <w:t xml:space="preserve"> a </w:t>
      </w:r>
      <w:r w:rsidRPr="004E0F02">
        <w:rPr>
          <w:rFonts w:eastAsia="Times New Roman" w:cs="Times New Roman"/>
          <w:bCs/>
          <w:szCs w:val="24"/>
        </w:rPr>
        <w:t>więc udostępnianie danych na tych samych warunkach</w:t>
      </w:r>
      <w:r w:rsidR="00E45B1D" w:rsidRPr="004E0F02">
        <w:rPr>
          <w:rFonts w:eastAsia="Times New Roman" w:cs="Times New Roman"/>
          <w:bCs/>
          <w:szCs w:val="24"/>
        </w:rPr>
        <w:t xml:space="preserve"> i </w:t>
      </w:r>
      <w:r w:rsidRPr="004E0F02">
        <w:rPr>
          <w:rFonts w:eastAsia="Times New Roman" w:cs="Times New Roman"/>
          <w:bCs/>
          <w:szCs w:val="24"/>
        </w:rPr>
        <w:t>zasadach każdemu zainteresowanemu, tak na wniosek użytkownika, jak i udostępnianych przez systemy teleinformatyczne,</w:t>
      </w:r>
    </w:p>
    <w:p w14:paraId="084D954F" w14:textId="448F76D2" w:rsidR="00A42682" w:rsidRPr="004E0F02" w:rsidRDefault="00A42682" w:rsidP="004D2DA7">
      <w:pPr>
        <w:widowControl/>
        <w:numPr>
          <w:ilvl w:val="0"/>
          <w:numId w:val="17"/>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 xml:space="preserve">dostępne bez ograniczeń licencyjnych </w:t>
      </w:r>
      <w:r w:rsidR="00E45B1D" w:rsidRPr="004E0F02">
        <w:rPr>
          <w:rFonts w:eastAsia="Times New Roman" w:cs="Times New Roman"/>
          <w:bCs/>
          <w:szCs w:val="24"/>
        </w:rPr>
        <w:noBreakHyphen/>
        <w:t xml:space="preserve"> </w:t>
      </w:r>
      <w:r w:rsidRPr="004E0F02">
        <w:rPr>
          <w:rFonts w:eastAsia="Times New Roman" w:cs="Times New Roman"/>
          <w:bCs/>
          <w:szCs w:val="24"/>
        </w:rPr>
        <w:t>dane udostępniane bez ograniczeń uniemożliwiający ich pełne wykorzystywanie, tj. takie dane, które nie są</w:t>
      </w:r>
      <w:r w:rsidR="008C5ED1" w:rsidRPr="004E0F02">
        <w:rPr>
          <w:rFonts w:eastAsia="Times New Roman" w:cs="Times New Roman"/>
          <w:bCs/>
          <w:szCs w:val="24"/>
        </w:rPr>
        <w:t> </w:t>
      </w:r>
      <w:r w:rsidRPr="004E0F02">
        <w:rPr>
          <w:rFonts w:eastAsia="Times New Roman" w:cs="Times New Roman"/>
          <w:bCs/>
          <w:szCs w:val="24"/>
        </w:rPr>
        <w:t>przedmiotem praw autorskich, patentów, znaków towarowych lub tajemnicy handlowej</w:t>
      </w:r>
      <w:r w:rsidR="00E45B1D" w:rsidRPr="004E0F02">
        <w:rPr>
          <w:rFonts w:eastAsia="Times New Roman" w:cs="Times New Roman"/>
          <w:bCs/>
          <w:szCs w:val="24"/>
        </w:rPr>
        <w:t xml:space="preserve"> i </w:t>
      </w:r>
      <w:r w:rsidRPr="004E0F02">
        <w:rPr>
          <w:rFonts w:eastAsia="Times New Roman" w:cs="Times New Roman"/>
          <w:bCs/>
          <w:szCs w:val="24"/>
        </w:rPr>
        <w:t>mogą być wykorzystywane</w:t>
      </w:r>
      <w:r w:rsidR="00E45B1D" w:rsidRPr="004E0F02">
        <w:rPr>
          <w:rFonts w:eastAsia="Times New Roman" w:cs="Times New Roman"/>
          <w:bCs/>
          <w:szCs w:val="24"/>
        </w:rPr>
        <w:t xml:space="preserve"> w </w:t>
      </w:r>
      <w:r w:rsidRPr="004E0F02">
        <w:rPr>
          <w:rFonts w:eastAsia="Times New Roman" w:cs="Times New Roman"/>
          <w:bCs/>
          <w:szCs w:val="24"/>
        </w:rPr>
        <w:t>dowolnych celach bez konieczności ubiegania się</w:t>
      </w:r>
      <w:r w:rsidR="00E45B1D" w:rsidRPr="004E0F02">
        <w:rPr>
          <w:rFonts w:eastAsia="Times New Roman" w:cs="Times New Roman"/>
          <w:bCs/>
          <w:szCs w:val="24"/>
        </w:rPr>
        <w:t xml:space="preserve"> o </w:t>
      </w:r>
      <w:r w:rsidRPr="004E0F02">
        <w:rPr>
          <w:rFonts w:eastAsia="Times New Roman" w:cs="Times New Roman"/>
          <w:bCs/>
          <w:szCs w:val="24"/>
        </w:rPr>
        <w:t>jakąkolwiek zgodę na ich używanie,</w:t>
      </w:r>
    </w:p>
    <w:p w14:paraId="2365B60B" w14:textId="41AFD2DF" w:rsidR="00A42682" w:rsidRPr="004E0F02" w:rsidRDefault="00A42682" w:rsidP="004D2DA7">
      <w:pPr>
        <w:widowControl/>
        <w:numPr>
          <w:ilvl w:val="0"/>
          <w:numId w:val="17"/>
        </w:numPr>
        <w:autoSpaceDE/>
        <w:autoSpaceDN/>
        <w:adjustRightInd/>
        <w:spacing w:before="240" w:after="120" w:line="276" w:lineRule="auto"/>
        <w:contextualSpacing/>
        <w:jc w:val="both"/>
        <w:rPr>
          <w:rFonts w:eastAsia="Times New Roman" w:cs="Times New Roman"/>
          <w:bCs/>
          <w:szCs w:val="24"/>
        </w:rPr>
      </w:pPr>
      <w:r w:rsidRPr="004E0F02">
        <w:rPr>
          <w:rFonts w:eastAsia="Times New Roman" w:cs="Times New Roman"/>
          <w:bCs/>
          <w:szCs w:val="24"/>
        </w:rPr>
        <w:t xml:space="preserve">niezastrzeżone </w:t>
      </w:r>
      <w:r w:rsidR="00E45B1D" w:rsidRPr="004E0F02">
        <w:rPr>
          <w:rFonts w:eastAsia="Times New Roman" w:cs="Times New Roman"/>
          <w:bCs/>
          <w:szCs w:val="24"/>
        </w:rPr>
        <w:noBreakHyphen/>
        <w:t xml:space="preserve"> </w:t>
      </w:r>
      <w:r w:rsidRPr="004E0F02">
        <w:rPr>
          <w:rFonts w:eastAsia="Times New Roman" w:cs="Times New Roman"/>
          <w:bCs/>
          <w:szCs w:val="24"/>
        </w:rPr>
        <w:t>dane udostępniane</w:t>
      </w:r>
      <w:r w:rsidR="00E45B1D" w:rsidRPr="004E0F02">
        <w:rPr>
          <w:rFonts w:eastAsia="Times New Roman" w:cs="Times New Roman"/>
          <w:bCs/>
          <w:szCs w:val="24"/>
        </w:rPr>
        <w:t xml:space="preserve"> w </w:t>
      </w:r>
      <w:r w:rsidRPr="004E0F02">
        <w:rPr>
          <w:rFonts w:eastAsia="Times New Roman" w:cs="Times New Roman"/>
          <w:bCs/>
          <w:szCs w:val="24"/>
        </w:rPr>
        <w:t>formacie powszechnie stosowanym i</w:t>
      </w:r>
      <w:r w:rsidR="008C5ED1" w:rsidRPr="004E0F02">
        <w:rPr>
          <w:rFonts w:eastAsia="Times New Roman" w:cs="Times New Roman"/>
          <w:bCs/>
          <w:szCs w:val="24"/>
        </w:rPr>
        <w:t> </w:t>
      </w:r>
      <w:r w:rsidRPr="004E0F02">
        <w:rPr>
          <w:rFonts w:eastAsia="Times New Roman" w:cs="Times New Roman"/>
          <w:bCs/>
          <w:szCs w:val="24"/>
        </w:rPr>
        <w:t>otwartym (charakterystyka jest jawna</w:t>
      </w:r>
      <w:r w:rsidR="00E45B1D" w:rsidRPr="004E0F02">
        <w:rPr>
          <w:rFonts w:eastAsia="Times New Roman" w:cs="Times New Roman"/>
          <w:bCs/>
          <w:szCs w:val="24"/>
        </w:rPr>
        <w:t xml:space="preserve"> i </w:t>
      </w:r>
      <w:r w:rsidRPr="004E0F02">
        <w:rPr>
          <w:rFonts w:eastAsia="Times New Roman" w:cs="Times New Roman"/>
          <w:bCs/>
          <w:szCs w:val="24"/>
        </w:rPr>
        <w:t>dobrze opisana), który nie jest kontrolowany przez żaden podmiot</w:t>
      </w:r>
      <w:r w:rsidR="008C5ED1" w:rsidRPr="004E0F02">
        <w:rPr>
          <w:rFonts w:eastAsia="Times New Roman" w:cs="Times New Roman"/>
          <w:bCs/>
          <w:szCs w:val="24"/>
        </w:rPr>
        <w:t>.</w:t>
      </w:r>
    </w:p>
    <w:p w14:paraId="10057C45" w14:textId="77777777" w:rsidR="00F5422C" w:rsidRPr="004E0F02" w:rsidRDefault="00F5422C" w:rsidP="00F5422C">
      <w:pPr>
        <w:widowControl/>
        <w:autoSpaceDE/>
        <w:autoSpaceDN/>
        <w:adjustRightInd/>
        <w:spacing w:before="240" w:after="120" w:line="276" w:lineRule="auto"/>
        <w:ind w:left="1068"/>
        <w:contextualSpacing/>
        <w:jc w:val="both"/>
        <w:rPr>
          <w:rFonts w:eastAsia="Times New Roman" w:cs="Times New Roman"/>
          <w:bCs/>
          <w:szCs w:val="24"/>
        </w:rPr>
      </w:pPr>
    </w:p>
    <w:p w14:paraId="636E25F0"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Ponowne wykorzystywanie.</w:t>
      </w:r>
    </w:p>
    <w:p w14:paraId="13B25F1A" w14:textId="5CCC0ED6" w:rsidR="00A42682" w:rsidRPr="004E0F02" w:rsidRDefault="00A42682" w:rsidP="00D14F83">
      <w:pPr>
        <w:widowControl/>
        <w:spacing w:after="120" w:line="276" w:lineRule="auto"/>
        <w:ind w:left="340"/>
        <w:jc w:val="both"/>
        <w:rPr>
          <w:rFonts w:eastAsia="Times New Roman" w:cs="Times New Roman"/>
          <w:bCs/>
          <w:szCs w:val="24"/>
        </w:rPr>
      </w:pPr>
      <w:r w:rsidRPr="004E0F02">
        <w:rPr>
          <w:rFonts w:eastAsia="Times New Roman" w:cs="Times New Roman"/>
          <w:bCs/>
          <w:szCs w:val="24"/>
        </w:rPr>
        <w:t>Przez ponowne wykorzystywanie rozumie się wykorzystywanie przez użytkowników informacji sektora publicznego</w:t>
      </w:r>
      <w:r w:rsidR="00E45B1D" w:rsidRPr="004E0F02">
        <w:rPr>
          <w:rFonts w:eastAsia="Times New Roman" w:cs="Times New Roman"/>
          <w:bCs/>
          <w:szCs w:val="24"/>
        </w:rPr>
        <w:t xml:space="preserve"> </w:t>
      </w:r>
      <w:r w:rsidR="00EF3522" w:rsidRPr="004E0F02">
        <w:rPr>
          <w:rFonts w:eastAsia="Times New Roman" w:cs="Times New Roman"/>
          <w:bCs/>
          <w:szCs w:val="24"/>
        </w:rPr>
        <w:t xml:space="preserve">w jakimkolwiek innym celu </w:t>
      </w:r>
      <w:r w:rsidRPr="004E0F02">
        <w:rPr>
          <w:rFonts w:eastAsia="Times New Roman" w:cs="Times New Roman"/>
          <w:bCs/>
          <w:szCs w:val="24"/>
        </w:rPr>
        <w:t>niż pierwotny publiczny cel, dla którego informacja została wytworzona,</w:t>
      </w:r>
      <w:r w:rsidR="00EF3522" w:rsidRPr="004E0F02">
        <w:rPr>
          <w:rFonts w:eastAsia="Times New Roman" w:cs="Times New Roman"/>
          <w:bCs/>
          <w:szCs w:val="24"/>
        </w:rPr>
        <w:t xml:space="preserve"> przetworzona, pozyskana lub zgromadzona,</w:t>
      </w:r>
      <w:r w:rsidR="00E45B1D" w:rsidRPr="004E0F02">
        <w:rPr>
          <w:rFonts w:eastAsia="Times New Roman" w:cs="Times New Roman"/>
          <w:bCs/>
          <w:szCs w:val="24"/>
        </w:rPr>
        <w:t xml:space="preserve"> z </w:t>
      </w:r>
      <w:r w:rsidRPr="004E0F02">
        <w:rPr>
          <w:rFonts w:eastAsia="Times New Roman" w:cs="Times New Roman"/>
          <w:bCs/>
          <w:szCs w:val="24"/>
        </w:rPr>
        <w:t>wyjątkiem wymiany informacji sektora publicznego pomiędzy podmiotami zobowiązanymi wyłącznie</w:t>
      </w:r>
      <w:r w:rsidR="00E45B1D" w:rsidRPr="004E0F02">
        <w:rPr>
          <w:rFonts w:eastAsia="Times New Roman" w:cs="Times New Roman"/>
          <w:bCs/>
          <w:szCs w:val="24"/>
        </w:rPr>
        <w:t xml:space="preserve"> w </w:t>
      </w:r>
      <w:r w:rsidRPr="004E0F02">
        <w:rPr>
          <w:rFonts w:eastAsia="Times New Roman" w:cs="Times New Roman"/>
          <w:bCs/>
          <w:szCs w:val="24"/>
        </w:rPr>
        <w:t>celu realizacji zadań publicznych. Definicja ponownego wykorzystywania wskazana</w:t>
      </w:r>
      <w:r w:rsidR="00E45B1D" w:rsidRPr="004E0F02">
        <w:rPr>
          <w:rFonts w:eastAsia="Times New Roman" w:cs="Times New Roman"/>
          <w:bCs/>
          <w:szCs w:val="24"/>
        </w:rPr>
        <w:t xml:space="preserve"> w art. 2 pkt </w:t>
      </w:r>
      <w:r w:rsidR="00EF3522" w:rsidRPr="004E0F02">
        <w:rPr>
          <w:rFonts w:eastAsia="Times New Roman" w:cs="Times New Roman"/>
          <w:bCs/>
          <w:szCs w:val="24"/>
        </w:rPr>
        <w:t>12 </w:t>
      </w:r>
      <w:r w:rsidRPr="004E0F02">
        <w:rPr>
          <w:rFonts w:eastAsia="Times New Roman" w:cs="Times New Roman"/>
          <w:bCs/>
          <w:szCs w:val="24"/>
        </w:rPr>
        <w:t>projektu ustawy stanowi implementację</w:t>
      </w:r>
      <w:r w:rsidR="00E45B1D" w:rsidRPr="004E0F02">
        <w:rPr>
          <w:rFonts w:eastAsia="Times New Roman" w:cs="Times New Roman"/>
          <w:bCs/>
          <w:szCs w:val="24"/>
        </w:rPr>
        <w:t xml:space="preserve"> art. 2 pkt </w:t>
      </w:r>
      <w:r w:rsidRPr="004E0F02">
        <w:rPr>
          <w:rFonts w:eastAsia="Times New Roman" w:cs="Times New Roman"/>
          <w:bCs/>
          <w:szCs w:val="24"/>
        </w:rPr>
        <w:t>1</w:t>
      </w:r>
      <w:r w:rsidR="00E45B1D" w:rsidRPr="004E0F02">
        <w:rPr>
          <w:rFonts w:eastAsia="Times New Roman" w:cs="Times New Roman"/>
          <w:bCs/>
          <w:szCs w:val="24"/>
        </w:rPr>
        <w:t>1 </w:t>
      </w:r>
      <w:r w:rsidRPr="004E0F02">
        <w:rPr>
          <w:rFonts w:eastAsia="Times New Roman" w:cs="Times New Roman"/>
          <w:bCs/>
          <w:szCs w:val="24"/>
        </w:rPr>
        <w:t>dyrektyw 2019/1024/UE, zgodnie</w:t>
      </w:r>
      <w:r w:rsidR="00E45B1D" w:rsidRPr="004E0F02">
        <w:rPr>
          <w:rFonts w:eastAsia="Times New Roman" w:cs="Times New Roman"/>
          <w:bCs/>
          <w:szCs w:val="24"/>
        </w:rPr>
        <w:t xml:space="preserve"> z </w:t>
      </w:r>
      <w:r w:rsidRPr="004E0F02">
        <w:rPr>
          <w:rFonts w:eastAsia="Times New Roman" w:cs="Times New Roman"/>
          <w:bCs/>
          <w:szCs w:val="24"/>
        </w:rPr>
        <w:t>którym ponowne wykorzystywanie oznacza wykorzystywanie przez osoby fizyczne lub podmioty prawne dokumentów będących</w:t>
      </w:r>
      <w:r w:rsidR="00E45B1D" w:rsidRPr="004E0F02">
        <w:rPr>
          <w:rFonts w:eastAsia="Times New Roman" w:cs="Times New Roman"/>
          <w:bCs/>
          <w:szCs w:val="24"/>
        </w:rPr>
        <w:t xml:space="preserve"> w </w:t>
      </w:r>
      <w:r w:rsidRPr="004E0F02">
        <w:rPr>
          <w:rFonts w:eastAsia="Times New Roman" w:cs="Times New Roman"/>
          <w:bCs/>
          <w:szCs w:val="24"/>
        </w:rPr>
        <w:t>posiadaniu:</w:t>
      </w:r>
    </w:p>
    <w:p w14:paraId="3CF72609" w14:textId="65877D6E" w:rsidR="00A42682" w:rsidRPr="004E0F02" w:rsidRDefault="00A42682" w:rsidP="004D2DA7">
      <w:pPr>
        <w:widowControl/>
        <w:numPr>
          <w:ilvl w:val="0"/>
          <w:numId w:val="1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organów sektora publicznego, do celów komercyjnych lub niekomercyjnych innych niż ich pierwotne przeznaczenie</w:t>
      </w:r>
      <w:r w:rsidR="00E45B1D" w:rsidRPr="004E0F02">
        <w:rPr>
          <w:rFonts w:eastAsia="Times New Roman" w:cs="Times New Roman"/>
          <w:bCs/>
          <w:szCs w:val="24"/>
        </w:rPr>
        <w:t xml:space="preserve"> w </w:t>
      </w:r>
      <w:r w:rsidRPr="004E0F02">
        <w:rPr>
          <w:rFonts w:eastAsia="Times New Roman" w:cs="Times New Roman"/>
          <w:bCs/>
          <w:szCs w:val="24"/>
        </w:rPr>
        <w:t>ramach zadań publicznych, dla którego to celu dokumenty te zostały wyprodukowane,</w:t>
      </w:r>
      <w:r w:rsidR="00E45B1D" w:rsidRPr="004E0F02">
        <w:rPr>
          <w:rFonts w:eastAsia="Times New Roman" w:cs="Times New Roman"/>
          <w:bCs/>
          <w:szCs w:val="24"/>
        </w:rPr>
        <w:t xml:space="preserve"> z </w:t>
      </w:r>
      <w:r w:rsidRPr="004E0F02">
        <w:rPr>
          <w:rFonts w:eastAsia="Times New Roman" w:cs="Times New Roman"/>
          <w:bCs/>
          <w:szCs w:val="24"/>
        </w:rPr>
        <w:t>wyjątkiem wymiany dokumentów między organami sektora publicznego służącej wyłącznie wykonywaniu ich zadań publicznych lub</w:t>
      </w:r>
    </w:p>
    <w:p w14:paraId="707B0CF2" w14:textId="773B49D3" w:rsidR="00A42682" w:rsidRPr="004E0F02" w:rsidRDefault="00A42682" w:rsidP="004D2DA7">
      <w:pPr>
        <w:widowControl/>
        <w:numPr>
          <w:ilvl w:val="0"/>
          <w:numId w:val="18"/>
        </w:numPr>
        <w:autoSpaceDE/>
        <w:autoSpaceDN/>
        <w:adjustRightInd/>
        <w:spacing w:before="240" w:after="120" w:line="276" w:lineRule="auto"/>
        <w:contextualSpacing/>
        <w:jc w:val="both"/>
        <w:rPr>
          <w:rFonts w:eastAsia="Times New Roman" w:cs="Times New Roman"/>
          <w:bCs/>
          <w:szCs w:val="24"/>
        </w:rPr>
      </w:pPr>
      <w:r w:rsidRPr="004E0F02">
        <w:rPr>
          <w:rFonts w:eastAsia="Times New Roman" w:cs="Times New Roman"/>
          <w:bCs/>
          <w:szCs w:val="24"/>
        </w:rPr>
        <w:t>przedsiębiorstw publicznych, do celów komercyjnych lub niekomercyjnych innych niż ich pierwotne przeznaczenie</w:t>
      </w:r>
      <w:r w:rsidR="00E45B1D" w:rsidRPr="004E0F02">
        <w:rPr>
          <w:rFonts w:eastAsia="Times New Roman" w:cs="Times New Roman"/>
          <w:bCs/>
          <w:szCs w:val="24"/>
        </w:rPr>
        <w:t xml:space="preserve"> w </w:t>
      </w:r>
      <w:r w:rsidRPr="004E0F02">
        <w:rPr>
          <w:rFonts w:eastAsia="Times New Roman" w:cs="Times New Roman"/>
          <w:bCs/>
          <w:szCs w:val="24"/>
        </w:rPr>
        <w:t>zakresie świadczenia usług</w:t>
      </w:r>
      <w:r w:rsidR="00E45B1D" w:rsidRPr="004E0F02">
        <w:rPr>
          <w:rFonts w:eastAsia="Times New Roman" w:cs="Times New Roman"/>
          <w:bCs/>
          <w:szCs w:val="24"/>
        </w:rPr>
        <w:t xml:space="preserve"> w </w:t>
      </w:r>
      <w:r w:rsidRPr="004E0F02">
        <w:rPr>
          <w:rFonts w:eastAsia="Times New Roman" w:cs="Times New Roman"/>
          <w:bCs/>
          <w:szCs w:val="24"/>
        </w:rPr>
        <w:t>interesie ogólnym, dla którego to celu dokumenty te zostały wyprodukowane,</w:t>
      </w:r>
      <w:r w:rsidR="00E45B1D" w:rsidRPr="004E0F02">
        <w:rPr>
          <w:rFonts w:eastAsia="Times New Roman" w:cs="Times New Roman"/>
          <w:bCs/>
          <w:szCs w:val="24"/>
        </w:rPr>
        <w:t xml:space="preserve"> z </w:t>
      </w:r>
      <w:r w:rsidRPr="004E0F02">
        <w:rPr>
          <w:rFonts w:eastAsia="Times New Roman" w:cs="Times New Roman"/>
          <w:bCs/>
          <w:szCs w:val="24"/>
        </w:rPr>
        <w:t>wyjątkiem wymiany dokumentów między przedsiębiorstwami publicznymi</w:t>
      </w:r>
      <w:r w:rsidR="00E45B1D" w:rsidRPr="004E0F02">
        <w:rPr>
          <w:rFonts w:eastAsia="Times New Roman" w:cs="Times New Roman"/>
          <w:bCs/>
          <w:szCs w:val="24"/>
        </w:rPr>
        <w:t xml:space="preserve"> a </w:t>
      </w:r>
      <w:r w:rsidRPr="004E0F02">
        <w:rPr>
          <w:rFonts w:eastAsia="Times New Roman" w:cs="Times New Roman"/>
          <w:bCs/>
          <w:szCs w:val="24"/>
        </w:rPr>
        <w:t>organami sektora publicznego służącej wyłącznie wykonywaniu zadań publicznych organów sektora publicznego</w:t>
      </w:r>
      <w:r w:rsidR="009520C6" w:rsidRPr="004E0F02">
        <w:rPr>
          <w:rFonts w:eastAsia="Times New Roman" w:cs="Times New Roman"/>
          <w:bCs/>
          <w:szCs w:val="24"/>
        </w:rPr>
        <w:t>.</w:t>
      </w:r>
    </w:p>
    <w:p w14:paraId="3BAC8C69" w14:textId="77777777" w:rsidR="00F5422C" w:rsidRPr="004E0F02" w:rsidRDefault="00F5422C" w:rsidP="00F5422C">
      <w:pPr>
        <w:widowControl/>
        <w:autoSpaceDE/>
        <w:autoSpaceDN/>
        <w:adjustRightInd/>
        <w:spacing w:before="240" w:after="120" w:line="276" w:lineRule="auto"/>
        <w:ind w:left="1068"/>
        <w:contextualSpacing/>
        <w:jc w:val="both"/>
        <w:rPr>
          <w:rFonts w:eastAsia="Times New Roman" w:cs="Times New Roman"/>
          <w:bCs/>
          <w:szCs w:val="24"/>
        </w:rPr>
      </w:pPr>
    </w:p>
    <w:p w14:paraId="65937295" w14:textId="1B621AAF"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Portal danych.</w:t>
      </w:r>
    </w:p>
    <w:p w14:paraId="649FA12F" w14:textId="18B125B2" w:rsidR="00A42682" w:rsidRPr="004E0F02" w:rsidRDefault="00A42682" w:rsidP="00D14F83">
      <w:pPr>
        <w:widowControl/>
        <w:spacing w:after="120" w:line="276" w:lineRule="auto"/>
        <w:ind w:left="340"/>
        <w:jc w:val="both"/>
        <w:rPr>
          <w:rFonts w:eastAsia="Times New Roman" w:cs="Times New Roman"/>
          <w:bCs/>
          <w:szCs w:val="24"/>
        </w:rPr>
      </w:pPr>
      <w:r w:rsidRPr="004E0F02">
        <w:rPr>
          <w:rFonts w:eastAsia="Times New Roman" w:cs="Times New Roman"/>
          <w:bCs/>
          <w:szCs w:val="24"/>
        </w:rPr>
        <w:t>W</w:t>
      </w:r>
      <w:r w:rsidR="00E45B1D" w:rsidRPr="004E0F02">
        <w:rPr>
          <w:rFonts w:eastAsia="Times New Roman" w:cs="Times New Roman"/>
          <w:bCs/>
          <w:szCs w:val="24"/>
        </w:rPr>
        <w:t xml:space="preserve"> art. 2 pkt </w:t>
      </w:r>
      <w:r w:rsidR="00EF3522" w:rsidRPr="004E0F02">
        <w:rPr>
          <w:rFonts w:eastAsia="Times New Roman" w:cs="Times New Roman"/>
          <w:bCs/>
          <w:szCs w:val="24"/>
        </w:rPr>
        <w:t>13 </w:t>
      </w:r>
      <w:r w:rsidRPr="004E0F02">
        <w:rPr>
          <w:rFonts w:eastAsia="Times New Roman" w:cs="Times New Roman"/>
          <w:bCs/>
          <w:szCs w:val="24"/>
        </w:rPr>
        <w:t xml:space="preserve">projektu ustawy zdefiniowano portal danych, czyli </w:t>
      </w:r>
      <w:r w:rsidR="009E4C34" w:rsidRPr="004E0F02">
        <w:rPr>
          <w:rFonts w:eastAsia="Times New Roman" w:cs="Times New Roman"/>
          <w:bCs/>
          <w:szCs w:val="24"/>
        </w:rPr>
        <w:t xml:space="preserve">prowadzony przez ministra właściwego do spraw informatyzacji, </w:t>
      </w:r>
      <w:r w:rsidR="00EF3522" w:rsidRPr="004E0F02">
        <w:rPr>
          <w:rFonts w:eastAsia="Times New Roman" w:cs="Times New Roman"/>
          <w:bCs/>
          <w:szCs w:val="24"/>
        </w:rPr>
        <w:t xml:space="preserve">pod adresem strony internetowej dane.gov.pl, </w:t>
      </w:r>
      <w:r w:rsidR="009E4C34" w:rsidRPr="004E0F02">
        <w:rPr>
          <w:rFonts w:eastAsia="Times New Roman" w:cs="Times New Roman"/>
          <w:bCs/>
          <w:szCs w:val="24"/>
        </w:rPr>
        <w:t xml:space="preserve">powszechnie dostępny system teleinformatyczny, służący do udostępniania informacji sektora publicznego oraz danych prywatnych </w:t>
      </w:r>
      <w:r w:rsidR="00EF3522" w:rsidRPr="004E0F02">
        <w:rPr>
          <w:rFonts w:eastAsia="Times New Roman" w:cs="Times New Roman"/>
          <w:bCs/>
          <w:szCs w:val="24"/>
        </w:rPr>
        <w:t xml:space="preserve">w celu </w:t>
      </w:r>
      <w:r w:rsidR="009E4C34" w:rsidRPr="004E0F02">
        <w:rPr>
          <w:rFonts w:eastAsia="Times New Roman" w:cs="Times New Roman"/>
          <w:bCs/>
          <w:szCs w:val="24"/>
        </w:rPr>
        <w:t>ponownego wykorzystywania</w:t>
      </w:r>
      <w:r w:rsidRPr="004E0F02">
        <w:rPr>
          <w:rFonts w:eastAsia="Times New Roman" w:cs="Times New Roman"/>
          <w:bCs/>
          <w:szCs w:val="24"/>
        </w:rPr>
        <w:t>. Portal danych zastąpi dotychczasowe centralne repozytorium informacji publicznej, którego regulacja wyodrębniona zostanie</w:t>
      </w:r>
      <w:r w:rsidR="00E45B1D" w:rsidRPr="004E0F02">
        <w:rPr>
          <w:rFonts w:eastAsia="Times New Roman" w:cs="Times New Roman"/>
          <w:bCs/>
          <w:szCs w:val="24"/>
        </w:rPr>
        <w:t xml:space="preserve"> z </w:t>
      </w:r>
      <w:r w:rsidRPr="004E0F02">
        <w:rPr>
          <w:rFonts w:eastAsia="Times New Roman" w:cs="Times New Roman"/>
          <w:bCs/>
          <w:szCs w:val="24"/>
        </w:rPr>
        <w:t>ustawy</w:t>
      </w:r>
      <w:r w:rsidR="00E45B1D" w:rsidRPr="004E0F02">
        <w:rPr>
          <w:rFonts w:eastAsia="Times New Roman" w:cs="Times New Roman"/>
          <w:bCs/>
          <w:szCs w:val="24"/>
        </w:rPr>
        <w:t xml:space="preserve"> o </w:t>
      </w:r>
      <w:r w:rsidRPr="004E0F02">
        <w:rPr>
          <w:rFonts w:eastAsia="Times New Roman" w:cs="Times New Roman"/>
          <w:bCs/>
          <w:szCs w:val="24"/>
        </w:rPr>
        <w:t>dostępie do informacji publicznej</w:t>
      </w:r>
      <w:r w:rsidR="00E45B1D" w:rsidRPr="004E0F02">
        <w:rPr>
          <w:rFonts w:eastAsia="Times New Roman" w:cs="Times New Roman"/>
          <w:bCs/>
          <w:szCs w:val="24"/>
        </w:rPr>
        <w:t xml:space="preserve"> i </w:t>
      </w:r>
      <w:r w:rsidRPr="004E0F02">
        <w:rPr>
          <w:rFonts w:eastAsia="Times New Roman" w:cs="Times New Roman"/>
          <w:bCs/>
          <w:szCs w:val="24"/>
        </w:rPr>
        <w:t xml:space="preserve">przeniesiona do projektowanej ustawy. Funkcję portalu danych (tak jak dotychczas centralnego repozytorium) pełnić będzie portal </w:t>
      </w:r>
      <w:hyperlink r:id="rId9" w:history="1">
        <w:r w:rsidRPr="004E0F02">
          <w:rPr>
            <w:rFonts w:eastAsia="Times New Roman" w:cs="Times New Roman"/>
            <w:bCs/>
            <w:szCs w:val="24"/>
            <w:u w:val="single"/>
          </w:rPr>
          <w:t>dane.gov.pl</w:t>
        </w:r>
      </w:hyperlink>
      <w:r w:rsidR="009520C6" w:rsidRPr="004E0F02">
        <w:rPr>
          <w:rFonts w:eastAsia="Times New Roman" w:cs="Times New Roman"/>
          <w:bCs/>
          <w:szCs w:val="24"/>
        </w:rPr>
        <w:t>.</w:t>
      </w:r>
    </w:p>
    <w:p w14:paraId="5AF766DB" w14:textId="77777777" w:rsidR="00A42682" w:rsidRPr="004E0F02" w:rsidRDefault="00A42682" w:rsidP="004D2DA7">
      <w:pPr>
        <w:widowControl/>
        <w:numPr>
          <w:ilvl w:val="0"/>
          <w:numId w:val="28"/>
        </w:numPr>
        <w:autoSpaceDE/>
        <w:autoSpaceDN/>
        <w:adjustRightInd/>
        <w:spacing w:after="120" w:line="276" w:lineRule="auto"/>
        <w:contextualSpacing/>
        <w:jc w:val="both"/>
        <w:rPr>
          <w:rFonts w:eastAsia="Times New Roman" w:cs="Times New Roman"/>
          <w:bCs/>
          <w:szCs w:val="24"/>
        </w:rPr>
      </w:pPr>
      <w:r w:rsidRPr="004E0F02">
        <w:rPr>
          <w:rFonts w:eastAsia="Times New Roman" w:cs="Times New Roman"/>
          <w:bCs/>
          <w:szCs w:val="24"/>
        </w:rPr>
        <w:t>Użytkownik.</w:t>
      </w:r>
    </w:p>
    <w:p w14:paraId="6031D724" w14:textId="77777777" w:rsidR="00A42682" w:rsidRPr="004E0F02" w:rsidRDefault="00A42682" w:rsidP="00D14F83">
      <w:pPr>
        <w:widowControl/>
        <w:spacing w:after="120" w:line="276" w:lineRule="auto"/>
        <w:ind w:left="340"/>
        <w:jc w:val="both"/>
        <w:rPr>
          <w:rFonts w:eastAsia="Times New Roman" w:cs="Times New Roman"/>
          <w:bCs/>
          <w:szCs w:val="24"/>
        </w:rPr>
      </w:pPr>
      <w:r w:rsidRPr="004E0F02">
        <w:rPr>
          <w:rFonts w:eastAsia="Times New Roman" w:cs="Times New Roman"/>
          <w:bCs/>
          <w:szCs w:val="24"/>
        </w:rPr>
        <w:t>Pod pojęciem użytkownika rozumie się osobę fizyczną, osobę prawną lub jednostkę organizacyjną nieposiadającą osobowości prawnej, która ponownie wykorzystuje informacje sektora publicznego.</w:t>
      </w:r>
    </w:p>
    <w:p w14:paraId="73177C62" w14:textId="77777777"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Zakres podmiotowy.</w:t>
      </w:r>
    </w:p>
    <w:p w14:paraId="670BA28D" w14:textId="4A2C1255" w:rsidR="00A42682" w:rsidRPr="004E0F02" w:rsidRDefault="00A42682" w:rsidP="00A42682">
      <w:pPr>
        <w:widowControl/>
        <w:spacing w:after="120" w:line="276" w:lineRule="auto"/>
        <w:jc w:val="both"/>
        <w:rPr>
          <w:rFonts w:eastAsia="Times New Roman" w:cs="Times New Roman"/>
          <w:szCs w:val="24"/>
          <w:u w:val="single"/>
        </w:rPr>
      </w:pPr>
      <w:r w:rsidRPr="004E0F02">
        <w:rPr>
          <w:rFonts w:eastAsia="Times New Roman" w:cs="Times New Roman"/>
          <w:szCs w:val="24"/>
        </w:rPr>
        <w:t>Projekt ustawy wyznacza zamknięty katalog podmiotów, które udostępniają lub przekazują informacje sektora publicznego</w:t>
      </w:r>
      <w:r w:rsidR="00E45B1D" w:rsidRPr="004E0F02">
        <w:rPr>
          <w:rFonts w:eastAsia="Times New Roman" w:cs="Times New Roman"/>
          <w:szCs w:val="24"/>
        </w:rPr>
        <w:t xml:space="preserve"> w </w:t>
      </w:r>
      <w:r w:rsidRPr="004E0F02">
        <w:rPr>
          <w:rFonts w:eastAsia="Times New Roman" w:cs="Times New Roman"/>
          <w:szCs w:val="24"/>
        </w:rPr>
        <w:t xml:space="preserve">celu ich ponownego wykorzystywania, zwanych dalej </w:t>
      </w:r>
      <w:r w:rsidR="00E45B1D" w:rsidRPr="004E0F02">
        <w:rPr>
          <w:rFonts w:eastAsia="Times New Roman" w:cs="Times New Roman"/>
          <w:szCs w:val="24"/>
        </w:rPr>
        <w:t>„</w:t>
      </w:r>
      <w:r w:rsidRPr="004E0F02">
        <w:rPr>
          <w:rFonts w:eastAsia="Times New Roman" w:cs="Times New Roman"/>
          <w:szCs w:val="24"/>
        </w:rPr>
        <w:t>podmiotami zobowiązanymi</w:t>
      </w:r>
      <w:r w:rsidR="00E45B1D" w:rsidRPr="004E0F02">
        <w:rPr>
          <w:rFonts w:eastAsia="Times New Roman" w:cs="Times New Roman"/>
          <w:szCs w:val="24"/>
        </w:rPr>
        <w:t>”</w:t>
      </w:r>
      <w:r w:rsidRPr="004E0F02">
        <w:rPr>
          <w:rFonts w:eastAsia="Times New Roman" w:cs="Times New Roman"/>
          <w:szCs w:val="24"/>
        </w:rPr>
        <w:t>. Katalog ten odzwierciedla zakres podmiotowy dyrektywy 2019/1024/UE i w zasadniczej części (obejmującej podmioty wskazane</w:t>
      </w:r>
      <w:r w:rsidR="00E45B1D" w:rsidRPr="004E0F02">
        <w:rPr>
          <w:rFonts w:eastAsia="Times New Roman" w:cs="Times New Roman"/>
          <w:szCs w:val="24"/>
        </w:rPr>
        <w:t xml:space="preserve"> w art. 3 </w:t>
      </w:r>
      <w:r w:rsidR="00E45B1D" w:rsidRPr="004E0F02">
        <w:rPr>
          <w:rFonts w:eastAsia="Times New Roman" w:cs="Times New Roman"/>
          <w:szCs w:val="24"/>
        </w:rPr>
        <w:lastRenderedPageBreak/>
        <w:t>pkt 1</w:t>
      </w:r>
      <w:r w:rsidR="00E45B1D" w:rsidRPr="004E0F02">
        <w:rPr>
          <w:rFonts w:eastAsia="Times New Roman" w:cs="Times New Roman"/>
          <w:szCs w:val="24"/>
        </w:rPr>
        <w:noBreakHyphen/>
        <w:t>4 </w:t>
      </w:r>
      <w:r w:rsidRPr="004E0F02">
        <w:rPr>
          <w:rFonts w:eastAsia="Times New Roman" w:cs="Times New Roman"/>
          <w:szCs w:val="24"/>
        </w:rPr>
        <w:t>projektu ustawy) jest tożsamy</w:t>
      </w:r>
      <w:r w:rsidR="00E45B1D" w:rsidRPr="004E0F02">
        <w:rPr>
          <w:rFonts w:eastAsia="Times New Roman" w:cs="Times New Roman"/>
          <w:szCs w:val="24"/>
        </w:rPr>
        <w:t xml:space="preserve"> z </w:t>
      </w:r>
      <w:r w:rsidRPr="004E0F02">
        <w:rPr>
          <w:rFonts w:eastAsia="Times New Roman" w:cs="Times New Roman"/>
          <w:szCs w:val="24"/>
        </w:rPr>
        <w:t>katalogiem podmiotów zobowiązanych wyznaczonym przez ustawę</w:t>
      </w:r>
      <w:r w:rsidR="00E45B1D" w:rsidRPr="004E0F02">
        <w:rPr>
          <w:rFonts w:eastAsia="Times New Roman" w:cs="Times New Roman"/>
          <w:szCs w:val="24"/>
        </w:rPr>
        <w:t xml:space="preserve"> z </w:t>
      </w:r>
      <w:r w:rsidRPr="004E0F02">
        <w:rPr>
          <w:rFonts w:eastAsia="Times New Roman" w:cs="Times New Roman"/>
          <w:szCs w:val="24"/>
        </w:rPr>
        <w:t>201</w:t>
      </w:r>
      <w:r w:rsidR="00E45B1D" w:rsidRPr="004E0F02">
        <w:rPr>
          <w:rFonts w:eastAsia="Times New Roman" w:cs="Times New Roman"/>
          <w:szCs w:val="24"/>
        </w:rPr>
        <w:t>6 </w:t>
      </w:r>
      <w:r w:rsidRPr="004E0F02">
        <w:rPr>
          <w:rFonts w:eastAsia="Times New Roman" w:cs="Times New Roman"/>
          <w:szCs w:val="24"/>
        </w:rPr>
        <w:t>r. Różnice pomiędzy dotychczasowym stanem prawnym,</w:t>
      </w:r>
      <w:r w:rsidR="00E45B1D" w:rsidRPr="004E0F02">
        <w:rPr>
          <w:rFonts w:eastAsia="Times New Roman" w:cs="Times New Roman"/>
          <w:szCs w:val="24"/>
        </w:rPr>
        <w:t xml:space="preserve"> a </w:t>
      </w:r>
      <w:r w:rsidRPr="004E0F02">
        <w:rPr>
          <w:rFonts w:eastAsia="Times New Roman" w:cs="Times New Roman"/>
          <w:szCs w:val="24"/>
        </w:rPr>
        <w:t>projektem ustawy dotyczą poszerzenia katalogu podmiotów zobowiązanych</w:t>
      </w:r>
      <w:r w:rsidR="00E45B1D" w:rsidRPr="004E0F02">
        <w:rPr>
          <w:rFonts w:eastAsia="Times New Roman" w:cs="Times New Roman"/>
          <w:szCs w:val="24"/>
        </w:rPr>
        <w:t xml:space="preserve"> o </w:t>
      </w:r>
      <w:r w:rsidRPr="004E0F02">
        <w:rPr>
          <w:rFonts w:eastAsia="Times New Roman" w:cs="Times New Roman"/>
          <w:szCs w:val="24"/>
        </w:rPr>
        <w:t>nową kategorię podmiotów mieszczących się</w:t>
      </w:r>
      <w:r w:rsidR="00E45B1D" w:rsidRPr="004E0F02">
        <w:rPr>
          <w:rFonts w:eastAsia="Times New Roman" w:cs="Times New Roman"/>
          <w:szCs w:val="24"/>
        </w:rPr>
        <w:t xml:space="preserve"> w </w:t>
      </w:r>
      <w:r w:rsidRPr="004E0F02">
        <w:rPr>
          <w:rFonts w:eastAsia="Times New Roman" w:cs="Times New Roman"/>
          <w:szCs w:val="24"/>
        </w:rPr>
        <w:t xml:space="preserve">zakresie definicji </w:t>
      </w:r>
      <w:r w:rsidR="00E45B1D" w:rsidRPr="004E0F02">
        <w:rPr>
          <w:rFonts w:eastAsia="Times New Roman" w:cs="Times New Roman"/>
          <w:szCs w:val="24"/>
        </w:rPr>
        <w:t>„</w:t>
      </w:r>
      <w:r w:rsidRPr="004E0F02">
        <w:rPr>
          <w:rFonts w:eastAsia="Times New Roman" w:cs="Times New Roman"/>
          <w:szCs w:val="24"/>
        </w:rPr>
        <w:t>przedsiębiorstw publicznych</w:t>
      </w:r>
      <w:r w:rsidR="00E45B1D" w:rsidRPr="004E0F02">
        <w:rPr>
          <w:rFonts w:eastAsia="Times New Roman" w:cs="Times New Roman"/>
          <w:szCs w:val="24"/>
        </w:rPr>
        <w:t>” w </w:t>
      </w:r>
      <w:r w:rsidRPr="004E0F02">
        <w:rPr>
          <w:rFonts w:eastAsia="Times New Roman" w:cs="Times New Roman"/>
          <w:szCs w:val="24"/>
        </w:rPr>
        <w:t>rozumieniu</w:t>
      </w:r>
      <w:r w:rsidR="00E45B1D" w:rsidRPr="004E0F02">
        <w:rPr>
          <w:rFonts w:eastAsia="Times New Roman" w:cs="Times New Roman"/>
          <w:szCs w:val="24"/>
        </w:rPr>
        <w:t xml:space="preserve"> art. 2 pkt 3 </w:t>
      </w:r>
      <w:r w:rsidRPr="004E0F02">
        <w:rPr>
          <w:rFonts w:eastAsia="Times New Roman" w:cs="Times New Roman"/>
          <w:szCs w:val="24"/>
        </w:rPr>
        <w:t>dyrektywy 2019/1024/UE.</w:t>
      </w:r>
    </w:p>
    <w:p w14:paraId="4467EB3E" w14:textId="6B498361" w:rsidR="00A42682" w:rsidRPr="004E0F02" w:rsidRDefault="00A42682" w:rsidP="00A42682">
      <w:pPr>
        <w:widowControl/>
        <w:spacing w:before="240" w:after="120" w:line="276" w:lineRule="auto"/>
        <w:jc w:val="both"/>
        <w:rPr>
          <w:rFonts w:eastAsia="Times New Roman" w:cs="Times New Roman"/>
          <w:szCs w:val="24"/>
        </w:rPr>
      </w:pPr>
      <w:r w:rsidRPr="004E0F02">
        <w:rPr>
          <w:rFonts w:eastAsia="Times New Roman" w:cs="Times New Roman"/>
          <w:szCs w:val="24"/>
        </w:rPr>
        <w:t>Poszerzenie zakresu podmiotowego</w:t>
      </w:r>
      <w:r w:rsidR="00E45B1D" w:rsidRPr="004E0F02">
        <w:rPr>
          <w:rFonts w:eastAsia="Times New Roman" w:cs="Times New Roman"/>
          <w:szCs w:val="24"/>
        </w:rPr>
        <w:t xml:space="preserve"> w </w:t>
      </w:r>
      <w:r w:rsidRPr="004E0F02">
        <w:rPr>
          <w:rFonts w:eastAsia="Times New Roman" w:cs="Times New Roman"/>
          <w:szCs w:val="24"/>
        </w:rPr>
        <w:t>projekcie ustawy podyktowane zostało objęciem regulacjami dyrektywy 2019/1024/UE dokumentów (informacji sektora publicznego) wytwarzanych przy realizacji usług świadczonych</w:t>
      </w:r>
      <w:r w:rsidR="00E45B1D" w:rsidRPr="004E0F02">
        <w:rPr>
          <w:rFonts w:eastAsia="Times New Roman" w:cs="Times New Roman"/>
          <w:szCs w:val="24"/>
        </w:rPr>
        <w:t xml:space="preserve"> w </w:t>
      </w:r>
      <w:r w:rsidRPr="004E0F02">
        <w:rPr>
          <w:rFonts w:eastAsia="Times New Roman" w:cs="Times New Roman"/>
          <w:szCs w:val="24"/>
        </w:rPr>
        <w:t>interesie ogólnym przez przedsiębiorstwa publiczne:</w:t>
      </w:r>
    </w:p>
    <w:p w14:paraId="61B87234" w14:textId="290F1737" w:rsidR="00A42682" w:rsidRPr="004E0F02" w:rsidRDefault="00A42682" w:rsidP="004D2DA7">
      <w:pPr>
        <w:widowControl/>
        <w:numPr>
          <w:ilvl w:val="0"/>
          <w:numId w:val="30"/>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prowadzące jeden</w:t>
      </w:r>
      <w:r w:rsidR="00E45B1D" w:rsidRPr="004E0F02">
        <w:rPr>
          <w:rFonts w:eastAsia="Times New Roman" w:cs="Times New Roman"/>
          <w:szCs w:val="24"/>
        </w:rPr>
        <w:t xml:space="preserve"> z </w:t>
      </w:r>
      <w:r w:rsidRPr="004E0F02">
        <w:rPr>
          <w:rFonts w:eastAsia="Times New Roman" w:cs="Times New Roman"/>
          <w:szCs w:val="24"/>
        </w:rPr>
        <w:t>rodzajów działalności,</w:t>
      </w:r>
      <w:r w:rsidR="00E45B1D" w:rsidRPr="004E0F02">
        <w:rPr>
          <w:rFonts w:eastAsia="Times New Roman" w:cs="Times New Roman"/>
          <w:szCs w:val="24"/>
        </w:rPr>
        <w:t xml:space="preserve"> o </w:t>
      </w:r>
      <w:r w:rsidRPr="004E0F02">
        <w:rPr>
          <w:rFonts w:eastAsia="Times New Roman" w:cs="Times New Roman"/>
          <w:szCs w:val="24"/>
        </w:rPr>
        <w:t>których mowa</w:t>
      </w:r>
      <w:r w:rsidR="00E45B1D" w:rsidRPr="004E0F02">
        <w:rPr>
          <w:rFonts w:eastAsia="Times New Roman" w:cs="Times New Roman"/>
          <w:szCs w:val="24"/>
        </w:rPr>
        <w:t xml:space="preserve"> w art. 8</w:t>
      </w:r>
      <w:r w:rsidR="00E45B1D" w:rsidRPr="004E0F02">
        <w:rPr>
          <w:rFonts w:eastAsia="Times New Roman" w:cs="Times New Roman"/>
          <w:szCs w:val="24"/>
        </w:rPr>
        <w:noBreakHyphen/>
      </w:r>
      <w:r w:rsidRPr="004E0F02">
        <w:rPr>
          <w:rFonts w:eastAsia="Times New Roman" w:cs="Times New Roman"/>
          <w:szCs w:val="24"/>
        </w:rPr>
        <w:t>1</w:t>
      </w:r>
      <w:r w:rsidR="00E45B1D" w:rsidRPr="004E0F02">
        <w:rPr>
          <w:rFonts w:eastAsia="Times New Roman" w:cs="Times New Roman"/>
          <w:szCs w:val="24"/>
        </w:rPr>
        <w:t>4 </w:t>
      </w:r>
      <w:r w:rsidRPr="004E0F02">
        <w:rPr>
          <w:rFonts w:eastAsia="Times New Roman" w:cs="Times New Roman"/>
          <w:szCs w:val="24"/>
        </w:rPr>
        <w:t>dyrektywy Parlamentu Europejskiego</w:t>
      </w:r>
      <w:r w:rsidR="00E45B1D" w:rsidRPr="004E0F02">
        <w:rPr>
          <w:rFonts w:eastAsia="Times New Roman" w:cs="Times New Roman"/>
          <w:szCs w:val="24"/>
        </w:rPr>
        <w:t xml:space="preserve"> i </w:t>
      </w:r>
      <w:r w:rsidRPr="004E0F02">
        <w:rPr>
          <w:rFonts w:eastAsia="Times New Roman" w:cs="Times New Roman"/>
          <w:szCs w:val="24"/>
        </w:rPr>
        <w:t>Rady</w:t>
      </w:r>
      <w:r w:rsidR="00E45B1D" w:rsidRPr="004E0F02">
        <w:rPr>
          <w:rFonts w:eastAsia="Calibri" w:cs="Times New Roman"/>
          <w:szCs w:val="24"/>
          <w:lang w:eastAsia="en-US"/>
        </w:rPr>
        <w:t xml:space="preserve"> </w:t>
      </w:r>
      <w:r w:rsidR="00E45B1D" w:rsidRPr="004E0F02">
        <w:rPr>
          <w:rFonts w:eastAsia="Times New Roman" w:cs="Times New Roman"/>
          <w:szCs w:val="24"/>
        </w:rPr>
        <w:t>z</w:t>
      </w:r>
      <w:r w:rsidR="00E45B1D" w:rsidRPr="004E0F02">
        <w:rPr>
          <w:rFonts w:eastAsia="Calibri" w:cs="Times New Roman"/>
          <w:szCs w:val="24"/>
          <w:lang w:eastAsia="en-US"/>
        </w:rPr>
        <w:t> </w:t>
      </w:r>
      <w:r w:rsidRPr="004E0F02">
        <w:rPr>
          <w:rFonts w:eastAsia="Times New Roman" w:cs="Times New Roman"/>
          <w:szCs w:val="24"/>
        </w:rPr>
        <w:t>dnia 2</w:t>
      </w:r>
      <w:r w:rsidR="00E45B1D" w:rsidRPr="004E0F02">
        <w:rPr>
          <w:rFonts w:eastAsia="Times New Roman" w:cs="Times New Roman"/>
          <w:szCs w:val="24"/>
        </w:rPr>
        <w:t>6 </w:t>
      </w:r>
      <w:r w:rsidRPr="004E0F02">
        <w:rPr>
          <w:rFonts w:eastAsia="Times New Roman" w:cs="Times New Roman"/>
          <w:szCs w:val="24"/>
        </w:rPr>
        <w:t>lutego 201</w:t>
      </w:r>
      <w:r w:rsidR="00E45B1D" w:rsidRPr="004E0F02">
        <w:rPr>
          <w:rFonts w:eastAsia="Times New Roman" w:cs="Times New Roman"/>
          <w:szCs w:val="24"/>
        </w:rPr>
        <w:t>4 </w:t>
      </w:r>
      <w:r w:rsidRPr="004E0F02">
        <w:rPr>
          <w:rFonts w:eastAsia="Times New Roman" w:cs="Times New Roman"/>
          <w:szCs w:val="24"/>
        </w:rPr>
        <w:t>r.</w:t>
      </w:r>
      <w:r w:rsidRPr="004E0F02">
        <w:rPr>
          <w:rFonts w:eastAsia="Calibri" w:cs="Times New Roman"/>
          <w:szCs w:val="24"/>
          <w:lang w:eastAsia="en-US"/>
        </w:rPr>
        <w:t xml:space="preserve"> </w:t>
      </w:r>
      <w:r w:rsidRPr="004E0F02">
        <w:rPr>
          <w:rFonts w:eastAsia="Times New Roman" w:cs="Times New Roman"/>
          <w:szCs w:val="24"/>
        </w:rPr>
        <w:t>2014/25/UE</w:t>
      </w:r>
      <w:r w:rsidR="00E45B1D" w:rsidRPr="004E0F02">
        <w:rPr>
          <w:rFonts w:eastAsia="Times New Roman" w:cs="Times New Roman"/>
          <w:szCs w:val="24"/>
        </w:rPr>
        <w:t xml:space="preserve"> w </w:t>
      </w:r>
      <w:r w:rsidRPr="004E0F02">
        <w:rPr>
          <w:rFonts w:eastAsia="Times New Roman" w:cs="Times New Roman"/>
          <w:szCs w:val="24"/>
        </w:rPr>
        <w:t>sprawie udzielania zamówień przez podmioty działające</w:t>
      </w:r>
      <w:r w:rsidR="00E45B1D" w:rsidRPr="004E0F02">
        <w:rPr>
          <w:rFonts w:eastAsia="Times New Roman" w:cs="Times New Roman"/>
          <w:szCs w:val="24"/>
        </w:rPr>
        <w:t xml:space="preserve"> w </w:t>
      </w:r>
      <w:r w:rsidRPr="004E0F02">
        <w:rPr>
          <w:rFonts w:eastAsia="Times New Roman" w:cs="Times New Roman"/>
          <w:szCs w:val="24"/>
        </w:rPr>
        <w:t>sektorach gospodarki wodnej, energetyki, transportu</w:t>
      </w:r>
      <w:r w:rsidR="00E45B1D" w:rsidRPr="004E0F02">
        <w:rPr>
          <w:rFonts w:eastAsia="Times New Roman" w:cs="Times New Roman"/>
          <w:szCs w:val="24"/>
        </w:rPr>
        <w:t xml:space="preserve"> i </w:t>
      </w:r>
      <w:r w:rsidRPr="004E0F02">
        <w:rPr>
          <w:rFonts w:eastAsia="Times New Roman" w:cs="Times New Roman"/>
          <w:szCs w:val="24"/>
        </w:rPr>
        <w:t>usług pocztowych, uchylającej dyrektywę 2004/17/WE</w:t>
      </w:r>
      <w:r w:rsidRPr="004E0F02">
        <w:rPr>
          <w:rFonts w:eastAsia="Times New Roman" w:cs="Times New Roman"/>
          <w:szCs w:val="24"/>
          <w:vertAlign w:val="superscript"/>
        </w:rPr>
        <w:footnoteReference w:id="24"/>
      </w:r>
      <w:r w:rsidRPr="004E0F02">
        <w:rPr>
          <w:rFonts w:eastAsia="Times New Roman" w:cs="Times New Roman"/>
          <w:szCs w:val="24"/>
          <w:vertAlign w:val="superscript"/>
        </w:rPr>
        <w:t>)</w:t>
      </w:r>
      <w:r w:rsidRPr="004E0F02">
        <w:rPr>
          <w:rFonts w:eastAsia="Times New Roman" w:cs="Times New Roman"/>
          <w:szCs w:val="24"/>
        </w:rPr>
        <w:t>;</w:t>
      </w:r>
    </w:p>
    <w:p w14:paraId="7C021612" w14:textId="22F395BE" w:rsidR="00A42682" w:rsidRPr="004E0F02" w:rsidRDefault="00A42682" w:rsidP="004D2DA7">
      <w:pPr>
        <w:widowControl/>
        <w:numPr>
          <w:ilvl w:val="0"/>
          <w:numId w:val="30"/>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działające</w:t>
      </w:r>
      <w:r w:rsidR="00E45B1D" w:rsidRPr="004E0F02">
        <w:rPr>
          <w:rFonts w:eastAsia="Times New Roman" w:cs="Times New Roman"/>
          <w:szCs w:val="24"/>
        </w:rPr>
        <w:t xml:space="preserve"> w </w:t>
      </w:r>
      <w:r w:rsidRPr="004E0F02">
        <w:rPr>
          <w:rFonts w:eastAsia="Times New Roman" w:cs="Times New Roman"/>
          <w:szCs w:val="24"/>
        </w:rPr>
        <w:t>charakterze podmiotów świadczących usługi publiczne zgodnie</w:t>
      </w:r>
      <w:r w:rsidR="00E45B1D" w:rsidRPr="004E0F02">
        <w:rPr>
          <w:rFonts w:eastAsia="Times New Roman" w:cs="Times New Roman"/>
          <w:szCs w:val="24"/>
        </w:rPr>
        <w:t xml:space="preserve"> z art. 2 </w:t>
      </w:r>
      <w:r w:rsidRPr="004E0F02">
        <w:rPr>
          <w:rFonts w:eastAsia="Times New Roman" w:cs="Times New Roman"/>
          <w:szCs w:val="24"/>
        </w:rPr>
        <w:t>rozporządzenia (WE)</w:t>
      </w:r>
      <w:r w:rsidR="00E45B1D" w:rsidRPr="004E0F02">
        <w:rPr>
          <w:rFonts w:eastAsia="Times New Roman" w:cs="Times New Roman"/>
          <w:szCs w:val="24"/>
        </w:rPr>
        <w:t xml:space="preserve"> nr </w:t>
      </w:r>
      <w:r w:rsidRPr="004E0F02">
        <w:rPr>
          <w:rFonts w:eastAsia="Times New Roman" w:cs="Times New Roman"/>
          <w:szCs w:val="24"/>
        </w:rPr>
        <w:t>1370/200</w:t>
      </w:r>
      <w:r w:rsidR="00E45B1D" w:rsidRPr="004E0F02">
        <w:rPr>
          <w:rFonts w:eastAsia="Times New Roman" w:cs="Times New Roman"/>
          <w:szCs w:val="24"/>
        </w:rPr>
        <w:t>7 </w:t>
      </w:r>
      <w:r w:rsidRPr="004E0F02">
        <w:rPr>
          <w:rFonts w:eastAsia="Times New Roman" w:cs="Times New Roman"/>
          <w:szCs w:val="24"/>
        </w:rPr>
        <w:t>Parlamentu Europejskiego</w:t>
      </w:r>
      <w:r w:rsidR="00E45B1D" w:rsidRPr="004E0F02">
        <w:rPr>
          <w:rFonts w:eastAsia="Times New Roman" w:cs="Times New Roman"/>
          <w:szCs w:val="24"/>
        </w:rPr>
        <w:t xml:space="preserve"> i </w:t>
      </w:r>
      <w:r w:rsidRPr="004E0F02">
        <w:rPr>
          <w:rFonts w:eastAsia="Times New Roman" w:cs="Times New Roman"/>
          <w:szCs w:val="24"/>
        </w:rPr>
        <w:t>Rady</w:t>
      </w:r>
      <w:r w:rsidR="00E45B1D" w:rsidRPr="004E0F02">
        <w:rPr>
          <w:rFonts w:eastAsia="Times New Roman" w:cs="Times New Roman"/>
          <w:szCs w:val="24"/>
        </w:rPr>
        <w:t xml:space="preserve"> z </w:t>
      </w:r>
      <w:r w:rsidRPr="004E0F02">
        <w:rPr>
          <w:rFonts w:eastAsia="Times New Roman" w:cs="Times New Roman"/>
          <w:szCs w:val="24"/>
        </w:rPr>
        <w:t>dnia 23</w:t>
      </w:r>
      <w:r w:rsidR="00F5422C" w:rsidRPr="004E0F02">
        <w:rPr>
          <w:rFonts w:eastAsia="Times New Roman" w:cs="Times New Roman"/>
          <w:szCs w:val="24"/>
        </w:rPr>
        <w:t> </w:t>
      </w:r>
      <w:r w:rsidRPr="004E0F02">
        <w:rPr>
          <w:rFonts w:eastAsia="Times New Roman" w:cs="Times New Roman"/>
          <w:szCs w:val="24"/>
        </w:rPr>
        <w:t>października 200</w:t>
      </w:r>
      <w:r w:rsidR="00E45B1D" w:rsidRPr="004E0F02">
        <w:rPr>
          <w:rFonts w:eastAsia="Times New Roman" w:cs="Times New Roman"/>
          <w:szCs w:val="24"/>
        </w:rPr>
        <w:t>7 </w:t>
      </w:r>
      <w:r w:rsidRPr="004E0F02">
        <w:rPr>
          <w:rFonts w:eastAsia="Times New Roman" w:cs="Times New Roman"/>
          <w:szCs w:val="24"/>
        </w:rPr>
        <w:t>r. dotyczącego usług publicznych</w:t>
      </w:r>
      <w:r w:rsidR="00E45B1D" w:rsidRPr="004E0F02">
        <w:rPr>
          <w:rFonts w:eastAsia="Times New Roman" w:cs="Times New Roman"/>
          <w:szCs w:val="24"/>
        </w:rPr>
        <w:t xml:space="preserve"> w </w:t>
      </w:r>
      <w:r w:rsidRPr="004E0F02">
        <w:rPr>
          <w:rFonts w:eastAsia="Times New Roman" w:cs="Times New Roman"/>
          <w:szCs w:val="24"/>
        </w:rPr>
        <w:t>zakresie kolejowego i</w:t>
      </w:r>
      <w:r w:rsidR="00B73CCD" w:rsidRPr="004E0F02">
        <w:rPr>
          <w:rFonts w:eastAsia="Times New Roman" w:cs="Times New Roman"/>
          <w:szCs w:val="24"/>
        </w:rPr>
        <w:t> </w:t>
      </w:r>
      <w:r w:rsidRPr="004E0F02">
        <w:rPr>
          <w:rFonts w:eastAsia="Times New Roman" w:cs="Times New Roman"/>
          <w:szCs w:val="24"/>
        </w:rPr>
        <w:t>drogowego transportu pasażerskiego oraz uchylającego rozporządzenia Rady (EWG)</w:t>
      </w:r>
      <w:r w:rsidR="00E45B1D" w:rsidRPr="004E0F02">
        <w:rPr>
          <w:rFonts w:eastAsia="Times New Roman" w:cs="Times New Roman"/>
          <w:szCs w:val="24"/>
        </w:rPr>
        <w:t xml:space="preserve"> nr </w:t>
      </w:r>
      <w:r w:rsidRPr="004E0F02">
        <w:rPr>
          <w:rFonts w:eastAsia="Times New Roman" w:cs="Times New Roman"/>
          <w:szCs w:val="24"/>
        </w:rPr>
        <w:t>1191/6</w:t>
      </w:r>
      <w:r w:rsidR="00E45B1D" w:rsidRPr="004E0F02">
        <w:rPr>
          <w:rFonts w:eastAsia="Times New Roman" w:cs="Times New Roman"/>
          <w:szCs w:val="24"/>
        </w:rPr>
        <w:t>9 i </w:t>
      </w:r>
      <w:r w:rsidR="00F5422C" w:rsidRPr="004E0F02">
        <w:rPr>
          <w:rFonts w:eastAsia="Times New Roman" w:cs="Times New Roman"/>
          <w:szCs w:val="24"/>
        </w:rPr>
        <w:t>(EWG)</w:t>
      </w:r>
      <w:r w:rsidR="00E45B1D" w:rsidRPr="004E0F02">
        <w:rPr>
          <w:rFonts w:eastAsia="Times New Roman" w:cs="Times New Roman"/>
          <w:szCs w:val="24"/>
        </w:rPr>
        <w:t xml:space="preserve"> nr </w:t>
      </w:r>
      <w:r w:rsidRPr="004E0F02">
        <w:rPr>
          <w:rFonts w:eastAsia="Times New Roman" w:cs="Times New Roman"/>
          <w:szCs w:val="24"/>
        </w:rPr>
        <w:t>1107/70</w:t>
      </w:r>
      <w:r w:rsidRPr="004E0F02">
        <w:rPr>
          <w:rFonts w:eastAsia="Times New Roman" w:cs="Times New Roman"/>
          <w:szCs w:val="24"/>
          <w:vertAlign w:val="superscript"/>
        </w:rPr>
        <w:footnoteReference w:id="25"/>
      </w:r>
      <w:r w:rsidRPr="004E0F02">
        <w:rPr>
          <w:rFonts w:eastAsia="Times New Roman" w:cs="Times New Roman"/>
          <w:szCs w:val="24"/>
          <w:vertAlign w:val="superscript"/>
        </w:rPr>
        <w:t>)</w:t>
      </w:r>
      <w:r w:rsidRPr="004E0F02">
        <w:rPr>
          <w:rFonts w:eastAsia="Times New Roman" w:cs="Times New Roman"/>
          <w:szCs w:val="24"/>
        </w:rPr>
        <w:t>;</w:t>
      </w:r>
    </w:p>
    <w:p w14:paraId="7715A0EE" w14:textId="20353103" w:rsidR="00A42682" w:rsidRPr="004E0F02" w:rsidRDefault="00A42682" w:rsidP="003E760C">
      <w:pPr>
        <w:widowControl/>
        <w:numPr>
          <w:ilvl w:val="0"/>
          <w:numId w:val="30"/>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działających</w:t>
      </w:r>
      <w:r w:rsidR="00E45B1D" w:rsidRPr="004E0F02">
        <w:rPr>
          <w:rFonts w:eastAsia="Times New Roman" w:cs="Times New Roman"/>
          <w:szCs w:val="24"/>
        </w:rPr>
        <w:t xml:space="preserve"> w </w:t>
      </w:r>
      <w:r w:rsidRPr="004E0F02">
        <w:rPr>
          <w:rFonts w:eastAsia="Times New Roman" w:cs="Times New Roman"/>
          <w:szCs w:val="24"/>
        </w:rPr>
        <w:t>charakterze przewoźników lotniczych wykonujących obowiązki użyteczności publicznej zgodnie</w:t>
      </w:r>
      <w:r w:rsidR="00E45B1D" w:rsidRPr="004E0F02">
        <w:rPr>
          <w:rFonts w:eastAsia="Times New Roman" w:cs="Times New Roman"/>
          <w:szCs w:val="24"/>
        </w:rPr>
        <w:t xml:space="preserve"> z art. </w:t>
      </w:r>
      <w:r w:rsidRPr="004E0F02">
        <w:rPr>
          <w:rFonts w:eastAsia="Times New Roman" w:cs="Times New Roman"/>
          <w:szCs w:val="24"/>
        </w:rPr>
        <w:t>1</w:t>
      </w:r>
      <w:r w:rsidR="00E45B1D" w:rsidRPr="004E0F02">
        <w:rPr>
          <w:rFonts w:eastAsia="Times New Roman" w:cs="Times New Roman"/>
          <w:szCs w:val="24"/>
        </w:rPr>
        <w:t>6 </w:t>
      </w:r>
      <w:r w:rsidRPr="004E0F02">
        <w:rPr>
          <w:rFonts w:eastAsia="Times New Roman" w:cs="Times New Roman"/>
          <w:szCs w:val="24"/>
        </w:rPr>
        <w:t>rozporządzenia Parlamentu Europejskiego i</w:t>
      </w:r>
      <w:r w:rsidR="00B73CCD" w:rsidRPr="004E0F02">
        <w:rPr>
          <w:rFonts w:eastAsia="Times New Roman" w:cs="Times New Roman"/>
          <w:szCs w:val="24"/>
        </w:rPr>
        <w:t> </w:t>
      </w:r>
      <w:r w:rsidRPr="004E0F02">
        <w:rPr>
          <w:rFonts w:eastAsia="Times New Roman" w:cs="Times New Roman"/>
          <w:szCs w:val="24"/>
        </w:rPr>
        <w:t>Rady (WE)</w:t>
      </w:r>
      <w:r w:rsidR="00E45B1D" w:rsidRPr="004E0F02">
        <w:rPr>
          <w:rFonts w:eastAsia="Times New Roman" w:cs="Times New Roman"/>
          <w:szCs w:val="24"/>
        </w:rPr>
        <w:t xml:space="preserve"> nr </w:t>
      </w:r>
      <w:r w:rsidRPr="004E0F02">
        <w:rPr>
          <w:rFonts w:eastAsia="Times New Roman" w:cs="Times New Roman"/>
          <w:szCs w:val="24"/>
        </w:rPr>
        <w:t>1008/200</w:t>
      </w:r>
      <w:r w:rsidR="00E45B1D" w:rsidRPr="004E0F02">
        <w:rPr>
          <w:rFonts w:eastAsia="Times New Roman" w:cs="Times New Roman"/>
          <w:szCs w:val="24"/>
        </w:rPr>
        <w:t>8 z </w:t>
      </w:r>
      <w:r w:rsidRPr="004E0F02">
        <w:rPr>
          <w:rFonts w:eastAsia="Times New Roman" w:cs="Times New Roman"/>
          <w:szCs w:val="24"/>
        </w:rPr>
        <w:t>dnia 2</w:t>
      </w:r>
      <w:r w:rsidR="00E45B1D" w:rsidRPr="004E0F02">
        <w:rPr>
          <w:rFonts w:eastAsia="Times New Roman" w:cs="Times New Roman"/>
          <w:szCs w:val="24"/>
        </w:rPr>
        <w:t>4 </w:t>
      </w:r>
      <w:r w:rsidRPr="004E0F02">
        <w:rPr>
          <w:rFonts w:eastAsia="Times New Roman" w:cs="Times New Roman"/>
          <w:szCs w:val="24"/>
        </w:rPr>
        <w:t>września 200</w:t>
      </w:r>
      <w:r w:rsidR="00E45B1D" w:rsidRPr="004E0F02">
        <w:rPr>
          <w:rFonts w:eastAsia="Times New Roman" w:cs="Times New Roman"/>
          <w:szCs w:val="24"/>
        </w:rPr>
        <w:t>8 </w:t>
      </w:r>
      <w:r w:rsidRPr="004E0F02">
        <w:rPr>
          <w:rFonts w:eastAsia="Times New Roman" w:cs="Times New Roman"/>
          <w:szCs w:val="24"/>
        </w:rPr>
        <w:t>r.</w:t>
      </w:r>
      <w:r w:rsidR="00E45B1D" w:rsidRPr="004E0F02">
        <w:rPr>
          <w:rFonts w:eastAsia="Times New Roman" w:cs="Times New Roman"/>
          <w:szCs w:val="24"/>
        </w:rPr>
        <w:t xml:space="preserve"> w </w:t>
      </w:r>
      <w:r w:rsidRPr="004E0F02">
        <w:rPr>
          <w:rFonts w:eastAsia="Times New Roman" w:cs="Times New Roman"/>
          <w:szCs w:val="24"/>
        </w:rPr>
        <w:t>sprawie wspólnych zasad wykonywania przewozów lotniczych na terenie Wspólnoty</w:t>
      </w:r>
      <w:r w:rsidR="003E760C" w:rsidRPr="004E0F02">
        <w:rPr>
          <w:rFonts w:eastAsia="Times New Roman" w:cs="Times New Roman"/>
          <w:szCs w:val="24"/>
        </w:rPr>
        <w:t xml:space="preserve"> (Wersja przekształcona)</w:t>
      </w:r>
      <w:r w:rsidRPr="004E0F02">
        <w:rPr>
          <w:rFonts w:eastAsia="Times New Roman" w:cs="Times New Roman"/>
          <w:szCs w:val="24"/>
          <w:vertAlign w:val="superscript"/>
        </w:rPr>
        <w:footnoteReference w:id="26"/>
      </w:r>
      <w:r w:rsidRPr="004E0F02">
        <w:rPr>
          <w:rFonts w:eastAsia="Times New Roman" w:cs="Times New Roman"/>
          <w:szCs w:val="24"/>
          <w:vertAlign w:val="superscript"/>
        </w:rPr>
        <w:t>)</w:t>
      </w:r>
      <w:r w:rsidRPr="004E0F02">
        <w:rPr>
          <w:rFonts w:eastAsia="Times New Roman" w:cs="Times New Roman"/>
          <w:szCs w:val="24"/>
        </w:rPr>
        <w:t>;</w:t>
      </w:r>
    </w:p>
    <w:p w14:paraId="13CBB5FC" w14:textId="55B04F26" w:rsidR="00A42682" w:rsidRPr="004E0F02" w:rsidRDefault="00A42682" w:rsidP="004D2DA7">
      <w:pPr>
        <w:widowControl/>
        <w:numPr>
          <w:ilvl w:val="0"/>
          <w:numId w:val="30"/>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działających</w:t>
      </w:r>
      <w:r w:rsidR="00E45B1D" w:rsidRPr="004E0F02">
        <w:rPr>
          <w:rFonts w:eastAsia="Times New Roman" w:cs="Times New Roman"/>
          <w:szCs w:val="24"/>
        </w:rPr>
        <w:t xml:space="preserve"> w </w:t>
      </w:r>
      <w:r w:rsidRPr="004E0F02">
        <w:rPr>
          <w:rFonts w:eastAsia="Times New Roman" w:cs="Times New Roman"/>
          <w:szCs w:val="24"/>
        </w:rPr>
        <w:t>charakterze armatorów Wspólnoty wykonujących zobowiązania</w:t>
      </w:r>
      <w:r w:rsidR="00E45B1D" w:rsidRPr="004E0F02">
        <w:rPr>
          <w:rFonts w:eastAsia="Times New Roman" w:cs="Times New Roman"/>
          <w:szCs w:val="24"/>
        </w:rPr>
        <w:t xml:space="preserve"> z </w:t>
      </w:r>
      <w:r w:rsidRPr="004E0F02">
        <w:rPr>
          <w:rFonts w:eastAsia="Times New Roman" w:cs="Times New Roman"/>
          <w:szCs w:val="24"/>
        </w:rPr>
        <w:t>tytułu świadczenia usług publicznych zgodnie</w:t>
      </w:r>
      <w:r w:rsidR="00E45B1D" w:rsidRPr="004E0F02">
        <w:rPr>
          <w:rFonts w:eastAsia="Times New Roman" w:cs="Times New Roman"/>
          <w:szCs w:val="24"/>
        </w:rPr>
        <w:t xml:space="preserve"> z art. 4 </w:t>
      </w:r>
      <w:r w:rsidRPr="004E0F02">
        <w:rPr>
          <w:rFonts w:eastAsia="Times New Roman" w:cs="Times New Roman"/>
          <w:szCs w:val="24"/>
        </w:rPr>
        <w:t>rozporządzenia Rady (EWG)</w:t>
      </w:r>
      <w:r w:rsidR="00E45B1D" w:rsidRPr="004E0F02">
        <w:rPr>
          <w:rFonts w:eastAsia="Times New Roman" w:cs="Times New Roman"/>
          <w:szCs w:val="24"/>
        </w:rPr>
        <w:t xml:space="preserve"> nr </w:t>
      </w:r>
      <w:r w:rsidRPr="004E0F02">
        <w:rPr>
          <w:rFonts w:eastAsia="Times New Roman" w:cs="Times New Roman"/>
          <w:szCs w:val="24"/>
        </w:rPr>
        <w:t>3577/9</w:t>
      </w:r>
      <w:r w:rsidR="00E45B1D" w:rsidRPr="004E0F02">
        <w:rPr>
          <w:rFonts w:eastAsia="Times New Roman" w:cs="Times New Roman"/>
          <w:szCs w:val="24"/>
        </w:rPr>
        <w:t>2 z </w:t>
      </w:r>
      <w:r w:rsidRPr="004E0F02">
        <w:rPr>
          <w:rFonts w:eastAsia="Times New Roman" w:cs="Times New Roman"/>
          <w:szCs w:val="24"/>
        </w:rPr>
        <w:t xml:space="preserve">dnia </w:t>
      </w:r>
      <w:r w:rsidR="00E45B1D" w:rsidRPr="004E0F02">
        <w:rPr>
          <w:rFonts w:eastAsia="Times New Roman" w:cs="Times New Roman"/>
          <w:szCs w:val="24"/>
        </w:rPr>
        <w:t>7 </w:t>
      </w:r>
      <w:r w:rsidRPr="004E0F02">
        <w:rPr>
          <w:rFonts w:eastAsia="Times New Roman" w:cs="Times New Roman"/>
          <w:szCs w:val="24"/>
        </w:rPr>
        <w:t>grudnia 199</w:t>
      </w:r>
      <w:r w:rsidR="00E45B1D" w:rsidRPr="004E0F02">
        <w:rPr>
          <w:rFonts w:eastAsia="Times New Roman" w:cs="Times New Roman"/>
          <w:szCs w:val="24"/>
        </w:rPr>
        <w:t>2 </w:t>
      </w:r>
      <w:r w:rsidRPr="004E0F02">
        <w:rPr>
          <w:rFonts w:eastAsia="Times New Roman" w:cs="Times New Roman"/>
          <w:szCs w:val="24"/>
        </w:rPr>
        <w:t>r. dotyczącego stosowania zasady swobody świadczenia usług w</w:t>
      </w:r>
      <w:r w:rsidR="00B73CCD" w:rsidRPr="004E0F02">
        <w:rPr>
          <w:rFonts w:eastAsia="Times New Roman" w:cs="Times New Roman"/>
          <w:szCs w:val="24"/>
        </w:rPr>
        <w:t> </w:t>
      </w:r>
      <w:r w:rsidRPr="004E0F02">
        <w:rPr>
          <w:rFonts w:eastAsia="Times New Roman" w:cs="Times New Roman"/>
          <w:szCs w:val="24"/>
        </w:rPr>
        <w:t>transporcie morskim</w:t>
      </w:r>
      <w:r w:rsidR="00E45B1D" w:rsidRPr="004E0F02">
        <w:rPr>
          <w:rFonts w:eastAsia="Times New Roman" w:cs="Times New Roman"/>
          <w:szCs w:val="24"/>
        </w:rPr>
        <w:t xml:space="preserve"> w </w:t>
      </w:r>
      <w:r w:rsidRPr="004E0F02">
        <w:rPr>
          <w:rFonts w:eastAsia="Times New Roman" w:cs="Times New Roman"/>
          <w:szCs w:val="24"/>
        </w:rPr>
        <w:t>obrębie Państw Członkowskich (kabotaż morski)</w:t>
      </w:r>
      <w:r w:rsidRPr="004E0F02">
        <w:rPr>
          <w:rFonts w:eastAsia="Times New Roman" w:cs="Times New Roman"/>
          <w:szCs w:val="24"/>
          <w:vertAlign w:val="superscript"/>
        </w:rPr>
        <w:footnoteReference w:id="27"/>
      </w:r>
      <w:r w:rsidRPr="004E0F02">
        <w:rPr>
          <w:rFonts w:eastAsia="Times New Roman" w:cs="Times New Roman"/>
          <w:szCs w:val="24"/>
          <w:vertAlign w:val="superscript"/>
        </w:rPr>
        <w:t>)</w:t>
      </w:r>
      <w:r w:rsidRPr="004E0F02">
        <w:rPr>
          <w:rFonts w:eastAsia="Times New Roman" w:cs="Times New Roman"/>
          <w:szCs w:val="24"/>
        </w:rPr>
        <w:t>.</w:t>
      </w:r>
    </w:p>
    <w:p w14:paraId="09115134" w14:textId="7344522D" w:rsidR="00A42682" w:rsidRPr="004E0F02" w:rsidRDefault="00A42682" w:rsidP="00F5422C">
      <w:pPr>
        <w:widowControl/>
        <w:spacing w:before="240" w:after="120" w:line="276" w:lineRule="auto"/>
        <w:jc w:val="both"/>
        <w:rPr>
          <w:rFonts w:eastAsia="Times New Roman" w:cs="Times New Roman"/>
          <w:szCs w:val="24"/>
        </w:rPr>
      </w:pPr>
      <w:r w:rsidRPr="004E0F02">
        <w:rPr>
          <w:rFonts w:eastAsia="Times New Roman" w:cs="Times New Roman"/>
          <w:szCs w:val="24"/>
        </w:rPr>
        <w:t>Mając na uwadze rozwiązania przyjęte</w:t>
      </w:r>
      <w:r w:rsidR="00E45B1D" w:rsidRPr="004E0F02">
        <w:rPr>
          <w:rFonts w:eastAsia="Times New Roman" w:cs="Times New Roman"/>
          <w:szCs w:val="24"/>
        </w:rPr>
        <w:t xml:space="preserve"> w </w:t>
      </w:r>
      <w:r w:rsidRPr="004E0F02">
        <w:rPr>
          <w:rFonts w:eastAsia="Times New Roman" w:cs="Times New Roman"/>
          <w:szCs w:val="24"/>
        </w:rPr>
        <w:t>dyrektywie 2019/1024/UE,</w:t>
      </w:r>
      <w:r w:rsidR="00E45B1D" w:rsidRPr="004E0F02">
        <w:rPr>
          <w:rFonts w:eastAsia="Times New Roman" w:cs="Times New Roman"/>
          <w:szCs w:val="24"/>
        </w:rPr>
        <w:t xml:space="preserve"> w </w:t>
      </w:r>
      <w:r w:rsidRPr="004E0F02">
        <w:rPr>
          <w:rFonts w:eastAsia="Times New Roman" w:cs="Times New Roman"/>
          <w:szCs w:val="24"/>
        </w:rPr>
        <w:t xml:space="preserve">której definicję </w:t>
      </w:r>
      <w:r w:rsidR="00E45B1D" w:rsidRPr="004E0F02">
        <w:rPr>
          <w:rFonts w:eastAsia="Times New Roman" w:cs="Times New Roman"/>
          <w:szCs w:val="24"/>
        </w:rPr>
        <w:t>„</w:t>
      </w:r>
      <w:r w:rsidRPr="004E0F02">
        <w:rPr>
          <w:rFonts w:eastAsia="Times New Roman" w:cs="Times New Roman"/>
          <w:szCs w:val="24"/>
        </w:rPr>
        <w:t>przedsiębiorstwa publicznego</w:t>
      </w:r>
      <w:r w:rsidR="00E45B1D" w:rsidRPr="004E0F02">
        <w:rPr>
          <w:rFonts w:eastAsia="Times New Roman" w:cs="Times New Roman"/>
          <w:szCs w:val="24"/>
        </w:rPr>
        <w:t>”</w:t>
      </w:r>
      <w:r w:rsidRPr="004E0F02">
        <w:rPr>
          <w:rFonts w:eastAsia="Times New Roman" w:cs="Times New Roman"/>
          <w:szCs w:val="24"/>
        </w:rPr>
        <w:t xml:space="preserve"> sformułowano</w:t>
      </w:r>
      <w:r w:rsidR="00E45B1D" w:rsidRPr="004E0F02">
        <w:rPr>
          <w:rFonts w:eastAsia="Times New Roman" w:cs="Times New Roman"/>
          <w:szCs w:val="24"/>
        </w:rPr>
        <w:t xml:space="preserve"> w </w:t>
      </w:r>
      <w:r w:rsidRPr="004E0F02">
        <w:rPr>
          <w:rFonts w:eastAsia="Times New Roman" w:cs="Times New Roman"/>
          <w:szCs w:val="24"/>
        </w:rPr>
        <w:t>oparciu</w:t>
      </w:r>
      <w:r w:rsidR="00E45B1D" w:rsidRPr="004E0F02">
        <w:rPr>
          <w:rFonts w:eastAsia="Times New Roman" w:cs="Times New Roman"/>
          <w:szCs w:val="24"/>
        </w:rPr>
        <w:t xml:space="preserve"> o </w:t>
      </w:r>
      <w:r w:rsidRPr="004E0F02">
        <w:rPr>
          <w:rFonts w:eastAsia="Times New Roman" w:cs="Times New Roman"/>
          <w:szCs w:val="24"/>
        </w:rPr>
        <w:t>przepisy dyrektywy 2014/25/UE,</w:t>
      </w:r>
      <w:r w:rsidR="00E45B1D" w:rsidRPr="004E0F02">
        <w:rPr>
          <w:rFonts w:eastAsia="Times New Roman" w:cs="Times New Roman"/>
          <w:szCs w:val="24"/>
        </w:rPr>
        <w:t xml:space="preserve"> art. 3 pkt 5 </w:t>
      </w:r>
      <w:r w:rsidRPr="004E0F02">
        <w:rPr>
          <w:rFonts w:eastAsia="Times New Roman" w:cs="Times New Roman"/>
          <w:szCs w:val="24"/>
        </w:rPr>
        <w:t>projektu ustawy</w:t>
      </w:r>
      <w:r w:rsidR="00E45B1D" w:rsidRPr="004E0F02">
        <w:rPr>
          <w:rFonts w:eastAsia="Times New Roman" w:cs="Times New Roman"/>
          <w:szCs w:val="24"/>
        </w:rPr>
        <w:t xml:space="preserve"> w </w:t>
      </w:r>
      <w:r w:rsidRPr="004E0F02">
        <w:rPr>
          <w:rFonts w:eastAsia="Times New Roman" w:cs="Times New Roman"/>
          <w:szCs w:val="24"/>
        </w:rPr>
        <w:t>zasadniczej części wzorowano na</w:t>
      </w:r>
      <w:r w:rsidR="00E45B1D" w:rsidRPr="004E0F02">
        <w:rPr>
          <w:rFonts w:eastAsia="Times New Roman" w:cs="Times New Roman"/>
          <w:szCs w:val="24"/>
        </w:rPr>
        <w:t xml:space="preserve"> art. 5 ust. 1 pkt 2 </w:t>
      </w:r>
      <w:r w:rsidRPr="004E0F02">
        <w:rPr>
          <w:rFonts w:eastAsia="Times New Roman" w:cs="Times New Roman"/>
          <w:szCs w:val="24"/>
        </w:rPr>
        <w:t>ustawy</w:t>
      </w:r>
      <w:r w:rsidR="00E45B1D" w:rsidRPr="004E0F02">
        <w:rPr>
          <w:rFonts w:eastAsia="Times New Roman" w:cs="Times New Roman"/>
          <w:szCs w:val="24"/>
        </w:rPr>
        <w:t xml:space="preserve"> z </w:t>
      </w:r>
      <w:r w:rsidRPr="004E0F02">
        <w:rPr>
          <w:rFonts w:eastAsia="Times New Roman" w:cs="Times New Roman"/>
          <w:szCs w:val="24"/>
        </w:rPr>
        <w:t>dnia 1</w:t>
      </w:r>
      <w:r w:rsidR="00E45B1D" w:rsidRPr="004E0F02">
        <w:rPr>
          <w:rFonts w:eastAsia="Times New Roman" w:cs="Times New Roman"/>
          <w:szCs w:val="24"/>
        </w:rPr>
        <w:t>1 </w:t>
      </w:r>
      <w:r w:rsidRPr="004E0F02">
        <w:rPr>
          <w:rFonts w:eastAsia="Times New Roman" w:cs="Times New Roman"/>
          <w:szCs w:val="24"/>
        </w:rPr>
        <w:t>września 201</w:t>
      </w:r>
      <w:r w:rsidR="00E45B1D" w:rsidRPr="004E0F02">
        <w:rPr>
          <w:rFonts w:eastAsia="Times New Roman" w:cs="Times New Roman"/>
          <w:szCs w:val="24"/>
        </w:rPr>
        <w:t>9 </w:t>
      </w:r>
      <w:r w:rsidRPr="004E0F02">
        <w:rPr>
          <w:rFonts w:eastAsia="Times New Roman" w:cs="Times New Roman"/>
          <w:szCs w:val="24"/>
        </w:rPr>
        <w:t>r. – Prawo zamówień publicznych</w:t>
      </w:r>
      <w:r w:rsidRPr="004E0F02">
        <w:rPr>
          <w:rFonts w:eastAsia="Times New Roman" w:cs="Times New Roman"/>
          <w:szCs w:val="24"/>
          <w:vertAlign w:val="superscript"/>
        </w:rPr>
        <w:footnoteReference w:id="28"/>
      </w:r>
      <w:r w:rsidRPr="004E0F02">
        <w:rPr>
          <w:rFonts w:eastAsia="Times New Roman" w:cs="Times New Roman"/>
          <w:szCs w:val="24"/>
          <w:vertAlign w:val="superscript"/>
        </w:rPr>
        <w:t>)</w:t>
      </w:r>
      <w:r w:rsidRPr="004E0F02">
        <w:rPr>
          <w:rFonts w:eastAsia="Times New Roman" w:cs="Times New Roman"/>
          <w:szCs w:val="24"/>
        </w:rPr>
        <w:t>. Wskazana ustawa dokonuje</w:t>
      </w:r>
      <w:r w:rsidR="00E45B1D" w:rsidRPr="004E0F02">
        <w:rPr>
          <w:rFonts w:eastAsia="Times New Roman" w:cs="Times New Roman"/>
          <w:szCs w:val="24"/>
        </w:rPr>
        <w:t xml:space="preserve"> w </w:t>
      </w:r>
      <w:r w:rsidRPr="004E0F02">
        <w:rPr>
          <w:rFonts w:eastAsia="Times New Roman" w:cs="Times New Roman"/>
          <w:szCs w:val="24"/>
        </w:rPr>
        <w:t>zakresie swojej regulacji wdrożenia postanowień dyrektyw unijnych dotyczących zamówień publicznych. Zgodnie</w:t>
      </w:r>
      <w:r w:rsidR="00E45B1D" w:rsidRPr="004E0F02">
        <w:rPr>
          <w:rFonts w:eastAsia="Times New Roman" w:cs="Times New Roman"/>
          <w:szCs w:val="24"/>
        </w:rPr>
        <w:t xml:space="preserve"> z art. 3 pkt 5 </w:t>
      </w:r>
      <w:r w:rsidRPr="004E0F02">
        <w:rPr>
          <w:rFonts w:eastAsia="Times New Roman" w:cs="Times New Roman"/>
          <w:szCs w:val="24"/>
        </w:rPr>
        <w:t xml:space="preserve">projektu ustawy podmiotami zobowiązanymi </w:t>
      </w:r>
      <w:r w:rsidRPr="004E0F02">
        <w:rPr>
          <w:rFonts w:eastAsia="Calibri" w:cs="Times New Roman"/>
          <w:szCs w:val="24"/>
          <w:lang w:eastAsia="en-US"/>
        </w:rPr>
        <w:t>do</w:t>
      </w:r>
      <w:r w:rsidR="00B73CCD" w:rsidRPr="004E0F02">
        <w:rPr>
          <w:rFonts w:eastAsia="Calibri" w:cs="Times New Roman"/>
          <w:szCs w:val="24"/>
          <w:lang w:eastAsia="en-US"/>
        </w:rPr>
        <w:t> </w:t>
      </w:r>
      <w:r w:rsidRPr="004E0F02">
        <w:rPr>
          <w:rFonts w:eastAsia="Calibri" w:cs="Times New Roman"/>
          <w:szCs w:val="24"/>
          <w:lang w:eastAsia="en-US"/>
        </w:rPr>
        <w:t>udostępniania lub przekazywania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celu ponownego </w:t>
      </w:r>
      <w:r w:rsidRPr="004E0F02">
        <w:rPr>
          <w:rFonts w:eastAsia="Calibri" w:cs="Times New Roman"/>
          <w:szCs w:val="24"/>
          <w:lang w:eastAsia="en-US"/>
        </w:rPr>
        <w:lastRenderedPageBreak/>
        <w:t xml:space="preserve">wykorzystywania </w:t>
      </w:r>
      <w:r w:rsidRPr="004E0F02">
        <w:rPr>
          <w:rFonts w:eastAsia="Times New Roman" w:cs="Times New Roman"/>
          <w:szCs w:val="24"/>
        </w:rPr>
        <w:t>są inne niż wskazane w przepisach</w:t>
      </w:r>
      <w:r w:rsidR="00E45B1D" w:rsidRPr="004E0F02">
        <w:rPr>
          <w:rFonts w:eastAsia="Times New Roman" w:cs="Times New Roman"/>
          <w:szCs w:val="24"/>
        </w:rPr>
        <w:t xml:space="preserve"> art. 3 pkt 1</w:t>
      </w:r>
      <w:r w:rsidR="00E45B1D" w:rsidRPr="004E0F02">
        <w:rPr>
          <w:rFonts w:eastAsia="Times New Roman" w:cs="Times New Roman"/>
          <w:szCs w:val="24"/>
        </w:rPr>
        <w:noBreakHyphen/>
        <w:t>4 </w:t>
      </w:r>
      <w:r w:rsidRPr="004E0F02">
        <w:rPr>
          <w:rFonts w:eastAsia="Times New Roman" w:cs="Times New Roman"/>
          <w:szCs w:val="24"/>
        </w:rPr>
        <w:t>projektu ustawy podmioty, które:</w:t>
      </w:r>
    </w:p>
    <w:p w14:paraId="7864E465" w14:textId="25D176B6" w:rsidR="00A42682" w:rsidRPr="004E0F02" w:rsidRDefault="00A42682" w:rsidP="004D2DA7">
      <w:pPr>
        <w:widowControl/>
        <w:numPr>
          <w:ilvl w:val="0"/>
          <w:numId w:val="13"/>
        </w:numPr>
        <w:autoSpaceDE/>
        <w:autoSpaceDN/>
        <w:adjustRightInd/>
        <w:spacing w:after="120" w:line="276" w:lineRule="auto"/>
        <w:contextualSpacing/>
        <w:jc w:val="both"/>
        <w:rPr>
          <w:rFonts w:eastAsia="Times New Roman" w:cs="Times New Roman"/>
          <w:szCs w:val="24"/>
        </w:rPr>
      </w:pPr>
      <w:r w:rsidRPr="004E0F02">
        <w:rPr>
          <w:rFonts w:eastAsia="Times New Roman" w:cs="Times New Roman"/>
          <w:szCs w:val="24"/>
        </w:rPr>
        <w:t>wykonują jeden</w:t>
      </w:r>
      <w:r w:rsidR="00E45B1D" w:rsidRPr="004E0F02">
        <w:rPr>
          <w:rFonts w:eastAsia="Times New Roman" w:cs="Times New Roman"/>
          <w:szCs w:val="24"/>
        </w:rPr>
        <w:t xml:space="preserve"> z </w:t>
      </w:r>
      <w:r w:rsidRPr="004E0F02">
        <w:rPr>
          <w:rFonts w:eastAsia="Times New Roman" w:cs="Times New Roman"/>
          <w:szCs w:val="24"/>
        </w:rPr>
        <w:t>rodzajów działalności sektorowej,</w:t>
      </w:r>
      <w:r w:rsidR="00E45B1D" w:rsidRPr="004E0F02">
        <w:rPr>
          <w:rFonts w:eastAsia="Times New Roman" w:cs="Times New Roman"/>
          <w:szCs w:val="24"/>
        </w:rPr>
        <w:t xml:space="preserve"> o </w:t>
      </w:r>
      <w:r w:rsidRPr="004E0F02">
        <w:rPr>
          <w:rFonts w:eastAsia="Times New Roman" w:cs="Times New Roman"/>
          <w:szCs w:val="24"/>
        </w:rPr>
        <w:t>której mowa</w:t>
      </w:r>
      <w:r w:rsidR="00E45B1D" w:rsidRPr="004E0F02">
        <w:rPr>
          <w:rFonts w:eastAsia="Times New Roman" w:cs="Times New Roman"/>
          <w:szCs w:val="24"/>
        </w:rPr>
        <w:t xml:space="preserve"> w art. 5 ust. 4 </w:t>
      </w:r>
      <w:r w:rsidRPr="004E0F02">
        <w:rPr>
          <w:rFonts w:eastAsia="Times New Roman" w:cs="Times New Roman"/>
          <w:szCs w:val="24"/>
        </w:rPr>
        <w:t>ustawy – Prawo zamówień publicznych lub</w:t>
      </w:r>
    </w:p>
    <w:p w14:paraId="519AF2D9" w14:textId="16712E84" w:rsidR="00A42682" w:rsidRPr="004E0F02" w:rsidRDefault="00A42682" w:rsidP="004D2DA7">
      <w:pPr>
        <w:widowControl/>
        <w:numPr>
          <w:ilvl w:val="0"/>
          <w:numId w:val="13"/>
        </w:numPr>
        <w:autoSpaceDE/>
        <w:autoSpaceDN/>
        <w:adjustRightInd/>
        <w:spacing w:after="120" w:line="276" w:lineRule="auto"/>
        <w:contextualSpacing/>
        <w:jc w:val="both"/>
        <w:rPr>
          <w:rFonts w:eastAsia="Times New Roman" w:cs="Times New Roman"/>
          <w:szCs w:val="24"/>
        </w:rPr>
      </w:pPr>
      <w:r w:rsidRPr="004E0F02">
        <w:rPr>
          <w:rFonts w:eastAsia="Calibri" w:cs="Times New Roman"/>
          <w:szCs w:val="24"/>
          <w:lang w:eastAsia="en-US"/>
        </w:rPr>
        <w:t>działają</w:t>
      </w:r>
      <w:r w:rsidR="00E45B1D" w:rsidRPr="004E0F02">
        <w:rPr>
          <w:rFonts w:eastAsia="Calibri" w:cs="Times New Roman"/>
          <w:szCs w:val="24"/>
          <w:lang w:eastAsia="en-US"/>
        </w:rPr>
        <w:t xml:space="preserve"> w </w:t>
      </w:r>
      <w:r w:rsidRPr="004E0F02">
        <w:rPr>
          <w:rFonts w:eastAsia="Calibri" w:cs="Times New Roman"/>
          <w:szCs w:val="24"/>
          <w:lang w:eastAsia="en-US"/>
        </w:rPr>
        <w:t>charakterze podmiotów świadczących usługi publiczne zgodnie</w:t>
      </w:r>
      <w:r w:rsidR="00E45B1D" w:rsidRPr="004E0F02">
        <w:rPr>
          <w:rFonts w:eastAsia="Calibri" w:cs="Times New Roman"/>
          <w:szCs w:val="24"/>
          <w:lang w:eastAsia="en-US"/>
        </w:rPr>
        <w:t xml:space="preserve"> z art. 2 </w:t>
      </w:r>
      <w:r w:rsidRPr="004E0F02">
        <w:rPr>
          <w:rFonts w:eastAsia="Calibri" w:cs="Times New Roman"/>
          <w:szCs w:val="24"/>
          <w:lang w:eastAsia="en-US"/>
        </w:rPr>
        <w:t>rozporządzenia (WE)</w:t>
      </w:r>
      <w:r w:rsidR="00E45B1D" w:rsidRPr="004E0F02">
        <w:rPr>
          <w:rFonts w:eastAsia="Calibri" w:cs="Times New Roman"/>
          <w:szCs w:val="24"/>
          <w:lang w:eastAsia="en-US"/>
        </w:rPr>
        <w:t xml:space="preserve"> nr </w:t>
      </w:r>
      <w:r w:rsidRPr="004E0F02">
        <w:rPr>
          <w:rFonts w:eastAsia="Calibri" w:cs="Times New Roman"/>
          <w:szCs w:val="24"/>
          <w:lang w:eastAsia="en-US"/>
        </w:rPr>
        <w:t>1370/2007, lub</w:t>
      </w:r>
    </w:p>
    <w:p w14:paraId="406347EC" w14:textId="28AB450D" w:rsidR="00A42682" w:rsidRPr="004E0F02" w:rsidRDefault="00A42682" w:rsidP="004D2DA7">
      <w:pPr>
        <w:widowControl/>
        <w:numPr>
          <w:ilvl w:val="0"/>
          <w:numId w:val="13"/>
        </w:numPr>
        <w:autoSpaceDE/>
        <w:autoSpaceDN/>
        <w:adjustRightInd/>
        <w:spacing w:after="120" w:line="276" w:lineRule="auto"/>
        <w:contextualSpacing/>
        <w:jc w:val="both"/>
        <w:rPr>
          <w:rFonts w:eastAsia="Times New Roman" w:cs="Times New Roman"/>
          <w:szCs w:val="24"/>
        </w:rPr>
      </w:pPr>
      <w:r w:rsidRPr="004E0F02">
        <w:rPr>
          <w:rFonts w:eastAsia="Calibri" w:cs="Times New Roman"/>
          <w:szCs w:val="24"/>
          <w:lang w:eastAsia="en-US"/>
        </w:rPr>
        <w:t>działają</w:t>
      </w:r>
      <w:r w:rsidR="00E45B1D" w:rsidRPr="004E0F02">
        <w:rPr>
          <w:rFonts w:eastAsia="Calibri" w:cs="Times New Roman"/>
          <w:szCs w:val="24"/>
          <w:lang w:eastAsia="en-US"/>
        </w:rPr>
        <w:t xml:space="preserve"> w </w:t>
      </w:r>
      <w:r w:rsidRPr="004E0F02">
        <w:rPr>
          <w:rFonts w:eastAsia="Calibri" w:cs="Times New Roman"/>
          <w:szCs w:val="24"/>
          <w:lang w:eastAsia="en-US"/>
        </w:rPr>
        <w:t>charakterze przewoźników lotniczych wykonujących obowiązki użyteczności publicznej zgodnie</w:t>
      </w:r>
      <w:r w:rsidR="00E45B1D" w:rsidRPr="004E0F02">
        <w:rPr>
          <w:rFonts w:eastAsia="Calibri" w:cs="Times New Roman"/>
          <w:szCs w:val="24"/>
          <w:lang w:eastAsia="en-US"/>
        </w:rPr>
        <w:t xml:space="preserve"> z art. </w:t>
      </w:r>
      <w:r w:rsidRPr="004E0F02">
        <w:rPr>
          <w:rFonts w:eastAsia="Calibri" w:cs="Times New Roman"/>
          <w:szCs w:val="24"/>
          <w:lang w:eastAsia="en-US"/>
        </w:rPr>
        <w:t>1</w:t>
      </w:r>
      <w:r w:rsidR="00E45B1D" w:rsidRPr="004E0F02">
        <w:rPr>
          <w:rFonts w:eastAsia="Calibri" w:cs="Times New Roman"/>
          <w:szCs w:val="24"/>
          <w:lang w:eastAsia="en-US"/>
        </w:rPr>
        <w:t>6 </w:t>
      </w:r>
      <w:r w:rsidRPr="004E0F02">
        <w:rPr>
          <w:rFonts w:eastAsia="Calibri" w:cs="Times New Roman"/>
          <w:szCs w:val="24"/>
          <w:lang w:eastAsia="en-US"/>
        </w:rPr>
        <w:t>rozporządzenia (WE)</w:t>
      </w:r>
      <w:r w:rsidR="00E45B1D" w:rsidRPr="004E0F02">
        <w:rPr>
          <w:rFonts w:eastAsia="Calibri" w:cs="Times New Roman"/>
          <w:szCs w:val="24"/>
          <w:lang w:eastAsia="en-US"/>
        </w:rPr>
        <w:t xml:space="preserve"> nr </w:t>
      </w:r>
      <w:r w:rsidRPr="004E0F02">
        <w:rPr>
          <w:rFonts w:eastAsia="Calibri" w:cs="Times New Roman"/>
          <w:szCs w:val="24"/>
          <w:lang w:eastAsia="en-US"/>
        </w:rPr>
        <w:t>1008/2008, lub</w:t>
      </w:r>
    </w:p>
    <w:p w14:paraId="3BCB0173" w14:textId="077DBE45" w:rsidR="00A42682" w:rsidRPr="004E0F02" w:rsidRDefault="00A42682" w:rsidP="004D2DA7">
      <w:pPr>
        <w:widowControl/>
        <w:numPr>
          <w:ilvl w:val="0"/>
          <w:numId w:val="13"/>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działają</w:t>
      </w:r>
      <w:r w:rsidR="00E45B1D" w:rsidRPr="004E0F02">
        <w:rPr>
          <w:rFonts w:eastAsia="Calibri" w:cs="Times New Roman"/>
          <w:szCs w:val="24"/>
          <w:lang w:eastAsia="en-US"/>
        </w:rPr>
        <w:t xml:space="preserve"> w </w:t>
      </w:r>
      <w:r w:rsidRPr="004E0F02">
        <w:rPr>
          <w:rFonts w:eastAsia="Calibri" w:cs="Times New Roman"/>
          <w:szCs w:val="24"/>
          <w:lang w:eastAsia="en-US"/>
        </w:rPr>
        <w:t>charakterze armatorów Wspólnoty wykonujących zobowiązania</w:t>
      </w:r>
      <w:r w:rsidR="00E45B1D" w:rsidRPr="004E0F02">
        <w:rPr>
          <w:rFonts w:eastAsia="Calibri" w:cs="Times New Roman"/>
          <w:szCs w:val="24"/>
          <w:lang w:eastAsia="en-US"/>
        </w:rPr>
        <w:t xml:space="preserve"> z </w:t>
      </w:r>
      <w:r w:rsidRPr="004E0F02">
        <w:rPr>
          <w:rFonts w:eastAsia="Calibri" w:cs="Times New Roman"/>
          <w:szCs w:val="24"/>
          <w:lang w:eastAsia="en-US"/>
        </w:rPr>
        <w:t>tytułu świadczenia usług publicznych zgodnie</w:t>
      </w:r>
      <w:r w:rsidR="00E45B1D" w:rsidRPr="004E0F02">
        <w:rPr>
          <w:rFonts w:eastAsia="Calibri" w:cs="Times New Roman"/>
          <w:szCs w:val="24"/>
          <w:lang w:eastAsia="en-US"/>
        </w:rPr>
        <w:t xml:space="preserve"> z art. 4 </w:t>
      </w:r>
      <w:r w:rsidRPr="004E0F02">
        <w:rPr>
          <w:rFonts w:eastAsia="Calibri" w:cs="Times New Roman"/>
          <w:szCs w:val="24"/>
          <w:lang w:eastAsia="en-US"/>
        </w:rPr>
        <w:t>rozporządzenia Rady (EWG)</w:t>
      </w:r>
      <w:r w:rsidR="00E45B1D" w:rsidRPr="004E0F02">
        <w:rPr>
          <w:rFonts w:eastAsia="Calibri" w:cs="Times New Roman"/>
          <w:szCs w:val="24"/>
          <w:lang w:eastAsia="en-US"/>
        </w:rPr>
        <w:t xml:space="preserve"> nr </w:t>
      </w:r>
      <w:r w:rsidRPr="004E0F02">
        <w:rPr>
          <w:rFonts w:eastAsia="Calibri" w:cs="Times New Roman"/>
          <w:szCs w:val="24"/>
          <w:lang w:eastAsia="en-US"/>
        </w:rPr>
        <w:t>3577/92.</w:t>
      </w:r>
    </w:p>
    <w:p w14:paraId="76037503" w14:textId="6CA50D8B" w:rsidR="00A42682" w:rsidRPr="004E0F02" w:rsidRDefault="00A42682" w:rsidP="00A42682">
      <w:pPr>
        <w:widowControl/>
        <w:spacing w:before="240" w:after="120" w:line="276" w:lineRule="auto"/>
        <w:jc w:val="both"/>
        <w:rPr>
          <w:rFonts w:eastAsia="Calibri" w:cs="Times New Roman"/>
          <w:szCs w:val="24"/>
          <w:lang w:eastAsia="en-US"/>
        </w:rPr>
      </w:pPr>
      <w:r w:rsidRPr="004E0F02">
        <w:rPr>
          <w:rFonts w:eastAsia="Calibri" w:cs="Times New Roman"/>
          <w:szCs w:val="24"/>
          <w:lang w:eastAsia="en-US"/>
        </w:rPr>
        <w:t>Drugą niezbędną przesłanką, umożliwiającą zaliczenie określonego podmiotu do kategorii podmiotów zobowiązanych, mieszczących się</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zakresie definicji </w:t>
      </w:r>
      <w:r w:rsidR="00E45B1D" w:rsidRPr="004E0F02">
        <w:rPr>
          <w:rFonts w:eastAsia="Calibri" w:cs="Times New Roman"/>
          <w:szCs w:val="24"/>
          <w:lang w:eastAsia="en-US"/>
        </w:rPr>
        <w:t>„</w:t>
      </w:r>
      <w:r w:rsidRPr="004E0F02">
        <w:rPr>
          <w:rFonts w:eastAsia="Calibri" w:cs="Times New Roman"/>
          <w:szCs w:val="24"/>
          <w:lang w:eastAsia="en-US"/>
        </w:rPr>
        <w:t>przedsiębiorstwa publicznego</w:t>
      </w:r>
      <w:r w:rsidR="00E45B1D" w:rsidRPr="004E0F02">
        <w:rPr>
          <w:rFonts w:eastAsia="Calibri" w:cs="Times New Roman"/>
          <w:szCs w:val="24"/>
          <w:lang w:eastAsia="en-US"/>
        </w:rPr>
        <w:t>”</w:t>
      </w:r>
      <w:r w:rsidRPr="004E0F02">
        <w:rPr>
          <w:rFonts w:eastAsia="Calibri" w:cs="Times New Roman"/>
          <w:szCs w:val="24"/>
          <w:lang w:eastAsia="en-US"/>
        </w:rPr>
        <w:t xml:space="preserve"> w rozumieniu</w:t>
      </w:r>
      <w:r w:rsidR="00E45B1D" w:rsidRPr="004E0F02">
        <w:rPr>
          <w:rFonts w:eastAsia="Calibri" w:cs="Times New Roman"/>
          <w:szCs w:val="24"/>
          <w:lang w:eastAsia="en-US"/>
        </w:rPr>
        <w:t xml:space="preserve"> art. 2 pkt 3 </w:t>
      </w:r>
      <w:r w:rsidRPr="004E0F02">
        <w:rPr>
          <w:rFonts w:eastAsia="Calibri" w:cs="Times New Roman"/>
          <w:szCs w:val="24"/>
          <w:lang w:eastAsia="en-US"/>
        </w:rPr>
        <w:t>dyrektywy 2019/1024/UE (poza prowadzeniem działalności</w:t>
      </w:r>
      <w:r w:rsidR="00E45B1D" w:rsidRPr="004E0F02">
        <w:rPr>
          <w:rFonts w:eastAsia="Calibri" w:cs="Times New Roman"/>
          <w:szCs w:val="24"/>
          <w:lang w:eastAsia="en-US"/>
        </w:rPr>
        <w:t xml:space="preserve"> w </w:t>
      </w:r>
      <w:r w:rsidRPr="004E0F02">
        <w:rPr>
          <w:rFonts w:eastAsia="Calibri" w:cs="Times New Roman"/>
          <w:szCs w:val="24"/>
          <w:lang w:eastAsia="en-US"/>
        </w:rPr>
        <w:t>wybranych obszarach), jest wywieranie przez podmioty,</w:t>
      </w:r>
      <w:r w:rsidR="00E45B1D" w:rsidRPr="004E0F02">
        <w:rPr>
          <w:rFonts w:eastAsia="Calibri" w:cs="Times New Roman"/>
          <w:szCs w:val="24"/>
          <w:lang w:eastAsia="en-US"/>
        </w:rPr>
        <w:t xml:space="preserve"> o </w:t>
      </w:r>
      <w:r w:rsidRPr="004E0F02">
        <w:rPr>
          <w:rFonts w:eastAsia="Calibri" w:cs="Times New Roman"/>
          <w:szCs w:val="24"/>
          <w:lang w:eastAsia="en-US"/>
        </w:rPr>
        <w:t>których mowa</w:t>
      </w:r>
      <w:r w:rsidR="00E45B1D" w:rsidRPr="004E0F02">
        <w:rPr>
          <w:rFonts w:eastAsia="Calibri" w:cs="Times New Roman"/>
          <w:szCs w:val="24"/>
          <w:lang w:eastAsia="en-US"/>
        </w:rPr>
        <w:t xml:space="preserve"> w art. 3 pkt 1</w:t>
      </w:r>
      <w:r w:rsidR="00E45B1D" w:rsidRPr="004E0F02">
        <w:rPr>
          <w:rFonts w:eastAsia="Calibri" w:cs="Times New Roman"/>
          <w:szCs w:val="24"/>
          <w:lang w:eastAsia="en-US"/>
        </w:rPr>
        <w:noBreakHyphen/>
        <w:t>4 </w:t>
      </w:r>
      <w:r w:rsidRPr="004E0F02">
        <w:rPr>
          <w:rFonts w:eastAsia="Calibri" w:cs="Times New Roman"/>
          <w:szCs w:val="24"/>
          <w:lang w:eastAsia="en-US"/>
        </w:rPr>
        <w:t>projektu ustawy (pojedynczo lub wspólnie, bezpośrednio lub pośrednio przez inny podmiot) dominującego wpływu na podmioty wskazane</w:t>
      </w:r>
      <w:r w:rsidR="00E45B1D" w:rsidRPr="004E0F02">
        <w:rPr>
          <w:rFonts w:eastAsia="Calibri" w:cs="Times New Roman"/>
          <w:szCs w:val="24"/>
          <w:lang w:eastAsia="en-US"/>
        </w:rPr>
        <w:t xml:space="preserve"> w art. 3 pkt 5 </w:t>
      </w:r>
      <w:r w:rsidRPr="004E0F02">
        <w:rPr>
          <w:rFonts w:eastAsia="Calibri" w:cs="Times New Roman"/>
          <w:szCs w:val="24"/>
          <w:lang w:eastAsia="en-US"/>
        </w:rPr>
        <w:t>projektu ustawy. Przez dominujący wpływ rozumie się w szczególności posiadanie:</w:t>
      </w:r>
    </w:p>
    <w:p w14:paraId="7DACE4EE" w14:textId="77777777" w:rsidR="00A42682" w:rsidRPr="004E0F02" w:rsidRDefault="00A42682" w:rsidP="004D2DA7">
      <w:pPr>
        <w:widowControl/>
        <w:numPr>
          <w:ilvl w:val="0"/>
          <w:numId w:val="31"/>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ponad połowy udziałów albo akcji lub</w:t>
      </w:r>
    </w:p>
    <w:p w14:paraId="6CD76D94" w14:textId="79E0266D" w:rsidR="00A42682" w:rsidRPr="004E0F02" w:rsidRDefault="00A42682" w:rsidP="004D2DA7">
      <w:pPr>
        <w:widowControl/>
        <w:numPr>
          <w:ilvl w:val="0"/>
          <w:numId w:val="31"/>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ponad połowy głosów wynikających</w:t>
      </w:r>
      <w:r w:rsidR="00E45B1D" w:rsidRPr="004E0F02">
        <w:rPr>
          <w:rFonts w:eastAsia="Calibri" w:cs="Times New Roman"/>
          <w:szCs w:val="24"/>
          <w:lang w:eastAsia="en-US"/>
        </w:rPr>
        <w:t xml:space="preserve"> z </w:t>
      </w:r>
      <w:r w:rsidRPr="004E0F02">
        <w:rPr>
          <w:rFonts w:eastAsia="Calibri" w:cs="Times New Roman"/>
          <w:szCs w:val="24"/>
          <w:lang w:eastAsia="en-US"/>
        </w:rPr>
        <w:t>udziałów albo akcji, lub</w:t>
      </w:r>
    </w:p>
    <w:p w14:paraId="1F93AEFE" w14:textId="77777777" w:rsidR="00A42682" w:rsidRPr="004E0F02" w:rsidRDefault="00A42682" w:rsidP="004D2DA7">
      <w:pPr>
        <w:widowControl/>
        <w:numPr>
          <w:ilvl w:val="0"/>
          <w:numId w:val="31"/>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prawa do powoływania ponad połowy składu organu nadzorczego lub zarządzającego.</w:t>
      </w:r>
    </w:p>
    <w:p w14:paraId="7FAD1339" w14:textId="13287E29" w:rsidR="00A42682" w:rsidRPr="004E0F02" w:rsidRDefault="00A42682" w:rsidP="004265EB">
      <w:pPr>
        <w:widowControl/>
        <w:spacing w:before="240" w:after="120" w:line="276" w:lineRule="auto"/>
        <w:jc w:val="both"/>
        <w:rPr>
          <w:rFonts w:eastAsia="Calibri" w:cs="Times New Roman"/>
          <w:szCs w:val="24"/>
          <w:lang w:eastAsia="en-US"/>
        </w:rPr>
      </w:pPr>
      <w:r w:rsidRPr="004E0F02">
        <w:rPr>
          <w:rFonts w:eastAsia="Calibri" w:cs="Times New Roman"/>
          <w:szCs w:val="24"/>
          <w:lang w:eastAsia="en-US"/>
        </w:rPr>
        <w:t>Objęcie zakresem ustawy danych będących</w:t>
      </w:r>
      <w:r w:rsidR="00E45B1D" w:rsidRPr="004E0F02">
        <w:rPr>
          <w:rFonts w:eastAsia="Calibri" w:cs="Times New Roman"/>
          <w:szCs w:val="24"/>
          <w:lang w:eastAsia="en-US"/>
        </w:rPr>
        <w:t xml:space="preserve"> w </w:t>
      </w:r>
      <w:r w:rsidRPr="004E0F02">
        <w:rPr>
          <w:rFonts w:eastAsia="Calibri" w:cs="Times New Roman"/>
          <w:szCs w:val="24"/>
          <w:lang w:eastAsia="en-US"/>
        </w:rPr>
        <w:t>posiadaniu przedsiębiorstw publicznych w</w:t>
      </w:r>
      <w:r w:rsidR="00B73CCD" w:rsidRPr="004E0F02">
        <w:rPr>
          <w:rFonts w:eastAsia="Calibri" w:cs="Times New Roman"/>
          <w:szCs w:val="24"/>
          <w:lang w:eastAsia="en-US"/>
        </w:rPr>
        <w:t> </w:t>
      </w:r>
      <w:r w:rsidRPr="004E0F02">
        <w:rPr>
          <w:rFonts w:eastAsia="Calibri" w:cs="Times New Roman"/>
          <w:szCs w:val="24"/>
          <w:lang w:eastAsia="en-US"/>
        </w:rPr>
        <w:t>rozumieniu</w:t>
      </w:r>
      <w:r w:rsidR="00E45B1D" w:rsidRPr="004E0F02">
        <w:rPr>
          <w:rFonts w:eastAsia="Calibri" w:cs="Times New Roman"/>
          <w:szCs w:val="24"/>
          <w:lang w:eastAsia="en-US"/>
        </w:rPr>
        <w:t xml:space="preserve"> art. 2 pkt 3 </w:t>
      </w:r>
      <w:r w:rsidRPr="004E0F02">
        <w:rPr>
          <w:rFonts w:eastAsia="Calibri" w:cs="Times New Roman"/>
          <w:szCs w:val="24"/>
          <w:lang w:eastAsia="en-US"/>
        </w:rPr>
        <w:t>dyrektywy 2019/1024/UE nie oznacza wprowadzenia ogólnego obowiązku udostępniania lub przekazywania przez takie podmioty informacji sektora publicznego do ponownego wykorzystywania. Zgodnie</w:t>
      </w:r>
      <w:r w:rsidR="00E45B1D" w:rsidRPr="004E0F02">
        <w:rPr>
          <w:rFonts w:eastAsia="Calibri" w:cs="Times New Roman"/>
          <w:szCs w:val="24"/>
          <w:lang w:eastAsia="en-US"/>
        </w:rPr>
        <w:t xml:space="preserve"> z </w:t>
      </w:r>
      <w:r w:rsidRPr="004E0F02">
        <w:rPr>
          <w:rFonts w:eastAsia="Calibri" w:cs="Times New Roman"/>
          <w:szCs w:val="24"/>
          <w:lang w:eastAsia="en-US"/>
        </w:rPr>
        <w:t>przyjętym</w:t>
      </w:r>
      <w:r w:rsidR="00E45B1D" w:rsidRPr="004E0F02">
        <w:rPr>
          <w:rFonts w:eastAsia="Calibri" w:cs="Times New Roman"/>
          <w:szCs w:val="24"/>
          <w:lang w:eastAsia="en-US"/>
        </w:rPr>
        <w:t xml:space="preserve"> w </w:t>
      </w:r>
      <w:r w:rsidRPr="004E0F02">
        <w:rPr>
          <w:rFonts w:eastAsia="Calibri" w:cs="Times New Roman"/>
          <w:szCs w:val="24"/>
          <w:lang w:eastAsia="en-US"/>
        </w:rPr>
        <w:t>nowej dyrektywie podejściem, udostępnianie do ponownego wykorzystywania danych będących</w:t>
      </w:r>
      <w:r w:rsidR="00E45B1D" w:rsidRPr="004E0F02">
        <w:rPr>
          <w:rFonts w:eastAsia="Calibri" w:cs="Times New Roman"/>
          <w:szCs w:val="24"/>
          <w:lang w:eastAsia="en-US"/>
        </w:rPr>
        <w:t xml:space="preserve"> w </w:t>
      </w:r>
      <w:r w:rsidRPr="004E0F02">
        <w:rPr>
          <w:rFonts w:eastAsia="Calibri" w:cs="Times New Roman"/>
          <w:szCs w:val="24"/>
          <w:lang w:eastAsia="en-US"/>
        </w:rPr>
        <w:t>posiadaniu przedsiębiorstw publicznych ma mieć w zasadniczej części charakter fakultatywny. Dyrektywa 2019/1024/UE nie wprowadza bowiem ogólnego obowiązku zezwalania na ponowne wykorzystywanie dokumentów produkowanych przez przedsiębiorstwa publiczne. Decyzja o</w:t>
      </w:r>
      <w:r w:rsidR="00B73CCD" w:rsidRPr="004E0F02">
        <w:rPr>
          <w:rFonts w:eastAsia="Calibri" w:cs="Times New Roman"/>
          <w:szCs w:val="24"/>
          <w:lang w:eastAsia="en-US"/>
        </w:rPr>
        <w:t> </w:t>
      </w:r>
      <w:r w:rsidRPr="004E0F02">
        <w:rPr>
          <w:rFonts w:eastAsia="Calibri" w:cs="Times New Roman"/>
          <w:szCs w:val="24"/>
          <w:lang w:eastAsia="en-US"/>
        </w:rPr>
        <w:t>tym, czy zezwolić na ponowne wykorzystywanie dokumentów, powinna pozostawać</w:t>
      </w:r>
      <w:r w:rsidR="00E45B1D" w:rsidRPr="004E0F02">
        <w:rPr>
          <w:rFonts w:eastAsia="Calibri" w:cs="Times New Roman"/>
          <w:szCs w:val="24"/>
          <w:lang w:eastAsia="en-US"/>
        </w:rPr>
        <w:t xml:space="preserve"> w </w:t>
      </w:r>
      <w:r w:rsidRPr="004E0F02">
        <w:rPr>
          <w:rFonts w:eastAsia="Calibri" w:cs="Times New Roman"/>
          <w:szCs w:val="24"/>
          <w:lang w:eastAsia="en-US"/>
        </w:rPr>
        <w:t>gestii zainteresowanego przedsiębiorstwa publicznego,</w:t>
      </w:r>
      <w:r w:rsidR="00E45B1D" w:rsidRPr="004E0F02">
        <w:rPr>
          <w:rFonts w:eastAsia="Calibri" w:cs="Times New Roman"/>
          <w:szCs w:val="24"/>
          <w:lang w:eastAsia="en-US"/>
        </w:rPr>
        <w:t xml:space="preserve"> o </w:t>
      </w:r>
      <w:r w:rsidRPr="004E0F02">
        <w:rPr>
          <w:rFonts w:eastAsia="Calibri" w:cs="Times New Roman"/>
          <w:szCs w:val="24"/>
          <w:lang w:eastAsia="en-US"/>
        </w:rPr>
        <w:t>ile dyrektywa, prawo unijne lub krajowe nie przewidują inaczej. Dopiero wówczas, gdy przedsiębiorstwo publiczne udostępni określone dane do ponownego wykorzystywania, powinno przestrzegać odpowiednich obowiązków określonych</w:t>
      </w:r>
      <w:r w:rsidR="00E45B1D" w:rsidRPr="004E0F02">
        <w:rPr>
          <w:rFonts w:eastAsia="Calibri" w:cs="Times New Roman"/>
          <w:szCs w:val="24"/>
          <w:lang w:eastAsia="en-US"/>
        </w:rPr>
        <w:t xml:space="preserve"> w </w:t>
      </w:r>
      <w:r w:rsidRPr="004E0F02">
        <w:rPr>
          <w:rFonts w:eastAsia="Calibri" w:cs="Times New Roman"/>
          <w:szCs w:val="24"/>
          <w:lang w:eastAsia="en-US"/>
        </w:rPr>
        <w:t>rozdziałach III</w:t>
      </w:r>
      <w:r w:rsidR="00E45B1D" w:rsidRPr="004E0F02">
        <w:rPr>
          <w:rFonts w:eastAsia="Calibri" w:cs="Times New Roman"/>
          <w:szCs w:val="24"/>
          <w:lang w:eastAsia="en-US"/>
        </w:rPr>
        <w:t xml:space="preserve"> i </w:t>
      </w:r>
      <w:r w:rsidRPr="004E0F02">
        <w:rPr>
          <w:rFonts w:eastAsia="Calibri" w:cs="Times New Roman"/>
          <w:szCs w:val="24"/>
          <w:lang w:eastAsia="en-US"/>
        </w:rPr>
        <w:t>IV dyrektywy 2019/1024/UE,</w:t>
      </w:r>
      <w:r w:rsidR="00E45B1D" w:rsidRPr="004E0F02">
        <w:rPr>
          <w:rFonts w:eastAsia="Calibri" w:cs="Times New Roman"/>
          <w:szCs w:val="24"/>
          <w:lang w:eastAsia="en-US"/>
        </w:rPr>
        <w:t xml:space="preserve"> w </w:t>
      </w:r>
      <w:r w:rsidRPr="004E0F02">
        <w:rPr>
          <w:rFonts w:eastAsia="Calibri" w:cs="Times New Roman"/>
          <w:szCs w:val="24"/>
          <w:lang w:eastAsia="en-US"/>
        </w:rPr>
        <w:t>szczególności obowiązków dotyczących formatu, pobierania opłat, przejrzystości, licencji, niedyskryminacji</w:t>
      </w:r>
      <w:r w:rsidR="00E45B1D" w:rsidRPr="004E0F02">
        <w:rPr>
          <w:rFonts w:eastAsia="Calibri" w:cs="Times New Roman"/>
          <w:szCs w:val="24"/>
          <w:lang w:eastAsia="en-US"/>
        </w:rPr>
        <w:t xml:space="preserve"> i </w:t>
      </w:r>
      <w:r w:rsidRPr="004E0F02">
        <w:rPr>
          <w:rFonts w:eastAsia="Calibri" w:cs="Times New Roman"/>
          <w:szCs w:val="24"/>
          <w:lang w:eastAsia="en-US"/>
        </w:rPr>
        <w:t>zakazu stosowania uzgodnień dotyczących wyłączności. Przedsiębiorstwa publiczne nie są również zobowiązane do spełnienia wymogów określonych</w:t>
      </w:r>
      <w:r w:rsidR="00E45B1D" w:rsidRPr="004E0F02">
        <w:rPr>
          <w:rFonts w:eastAsia="Calibri" w:cs="Times New Roman"/>
          <w:szCs w:val="24"/>
          <w:lang w:eastAsia="en-US"/>
        </w:rPr>
        <w:t xml:space="preserve"> w </w:t>
      </w:r>
      <w:r w:rsidRPr="004E0F02">
        <w:rPr>
          <w:rFonts w:eastAsia="Calibri" w:cs="Times New Roman"/>
          <w:szCs w:val="24"/>
          <w:lang w:eastAsia="en-US"/>
        </w:rPr>
        <w:t>rozdziale II dyrektywy regulującym rozpatrywanie wniosków</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 Mając na uwadze powyższe, podmioty wskazane</w:t>
      </w:r>
      <w:r w:rsidR="00E45B1D" w:rsidRPr="004E0F02">
        <w:rPr>
          <w:rFonts w:eastAsia="Calibri" w:cs="Times New Roman"/>
          <w:szCs w:val="24"/>
          <w:lang w:eastAsia="en-US"/>
        </w:rPr>
        <w:t xml:space="preserve"> w art. 3 pkt 5 </w:t>
      </w:r>
      <w:r w:rsidRPr="004E0F02">
        <w:rPr>
          <w:rFonts w:eastAsia="Calibri" w:cs="Times New Roman"/>
          <w:szCs w:val="24"/>
          <w:lang w:eastAsia="en-US"/>
        </w:rPr>
        <w:t>projektu ustawy wyłączono</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szeregu obowiązków ustawowych, w szczególności podmioty te nie będę zobowiązane do przekazywania informacji sektora </w:t>
      </w:r>
      <w:r w:rsidRPr="004E0F02">
        <w:rPr>
          <w:rFonts w:eastAsia="Calibri" w:cs="Times New Roman"/>
          <w:szCs w:val="24"/>
          <w:lang w:eastAsia="en-US"/>
        </w:rPr>
        <w:lastRenderedPageBreak/>
        <w:t>publicznego na wniosek</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w:t>
      </w:r>
      <w:r w:rsidR="003A61B0" w:rsidRPr="004E0F02">
        <w:rPr>
          <w:rFonts w:eastAsia="Calibri" w:cs="Times New Roman"/>
          <w:szCs w:val="24"/>
          <w:lang w:eastAsia="en-US"/>
        </w:rPr>
        <w:t xml:space="preserve"> oraz udostępniania posiadanych zasobów na portalu danych</w:t>
      </w:r>
      <w:r w:rsidRPr="004E0F02">
        <w:rPr>
          <w:rFonts w:eastAsia="Calibri" w:cs="Times New Roman"/>
          <w:szCs w:val="24"/>
          <w:lang w:eastAsia="en-US"/>
        </w:rPr>
        <w:t>.</w:t>
      </w:r>
    </w:p>
    <w:p w14:paraId="2DC76074" w14:textId="77777777"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Wyłączenia ze stosowania przepisów ustawy.</w:t>
      </w:r>
    </w:p>
    <w:p w14:paraId="54CC0799" w14:textId="2B91C719" w:rsidR="00A42682" w:rsidRPr="004E0F02" w:rsidRDefault="00A42682" w:rsidP="00A42682">
      <w:pPr>
        <w:widowControl/>
        <w:autoSpaceDE/>
        <w:autoSpaceDN/>
        <w:adjustRightInd/>
        <w:spacing w:after="120" w:line="276" w:lineRule="auto"/>
        <w:jc w:val="both"/>
        <w:rPr>
          <w:rFonts w:eastAsia="Times New Roman" w:cs="Times New Roman"/>
          <w:szCs w:val="24"/>
        </w:rPr>
      </w:pPr>
      <w:r w:rsidRPr="004E0F02">
        <w:rPr>
          <w:rFonts w:eastAsia="Times New Roman" w:cs="Times New Roman"/>
          <w:szCs w:val="24"/>
        </w:rPr>
        <w:t>Zgodnie</w:t>
      </w:r>
      <w:r w:rsidR="00E45B1D" w:rsidRPr="004E0F02">
        <w:rPr>
          <w:rFonts w:eastAsia="Times New Roman" w:cs="Times New Roman"/>
          <w:szCs w:val="24"/>
        </w:rPr>
        <w:t xml:space="preserve"> z art. 4 </w:t>
      </w:r>
      <w:r w:rsidRPr="004E0F02">
        <w:rPr>
          <w:rFonts w:eastAsia="Times New Roman" w:cs="Times New Roman"/>
          <w:szCs w:val="24"/>
        </w:rPr>
        <w:t>projektu przepisy ustawy nie będą miały zastosowania do informacji sektora publicznego będących</w:t>
      </w:r>
      <w:r w:rsidR="00E45B1D" w:rsidRPr="004E0F02">
        <w:rPr>
          <w:rFonts w:eastAsia="Times New Roman" w:cs="Times New Roman"/>
          <w:szCs w:val="24"/>
        </w:rPr>
        <w:t xml:space="preserve"> w </w:t>
      </w:r>
      <w:r w:rsidRPr="004E0F02">
        <w:rPr>
          <w:rFonts w:eastAsia="Times New Roman" w:cs="Times New Roman"/>
          <w:szCs w:val="24"/>
        </w:rPr>
        <w:t>posiadaniu sześciu grup podmiotów. Podobnie jak to miało miejsce w przypadku katalogu podmiotów zobowiązanych, również katalog wyłączeń podmiotowych pozostaje</w:t>
      </w:r>
      <w:r w:rsidR="00E45B1D" w:rsidRPr="004E0F02">
        <w:rPr>
          <w:rFonts w:eastAsia="Times New Roman" w:cs="Times New Roman"/>
          <w:szCs w:val="24"/>
        </w:rPr>
        <w:t xml:space="preserve"> w </w:t>
      </w:r>
      <w:r w:rsidRPr="004E0F02">
        <w:rPr>
          <w:rFonts w:eastAsia="Times New Roman" w:cs="Times New Roman"/>
          <w:szCs w:val="24"/>
        </w:rPr>
        <w:t>znacznej mierze tożsamy</w:t>
      </w:r>
      <w:r w:rsidR="00E45B1D" w:rsidRPr="004E0F02">
        <w:rPr>
          <w:rFonts w:eastAsia="Times New Roman" w:cs="Times New Roman"/>
          <w:szCs w:val="24"/>
        </w:rPr>
        <w:t xml:space="preserve"> z </w:t>
      </w:r>
      <w:r w:rsidRPr="004E0F02">
        <w:rPr>
          <w:rFonts w:eastAsia="Times New Roman" w:cs="Times New Roman"/>
          <w:szCs w:val="24"/>
        </w:rPr>
        <w:t>rozwiązaniami przewidzianymi</w:t>
      </w:r>
      <w:r w:rsidR="00E45B1D" w:rsidRPr="004E0F02">
        <w:rPr>
          <w:rFonts w:eastAsia="Times New Roman" w:cs="Times New Roman"/>
          <w:szCs w:val="24"/>
        </w:rPr>
        <w:t xml:space="preserve"> w </w:t>
      </w:r>
      <w:r w:rsidRPr="004E0F02">
        <w:rPr>
          <w:rFonts w:eastAsia="Times New Roman" w:cs="Times New Roman"/>
          <w:szCs w:val="24"/>
        </w:rPr>
        <w:t>ustawie</w:t>
      </w:r>
      <w:r w:rsidR="00E45B1D" w:rsidRPr="004E0F02">
        <w:rPr>
          <w:rFonts w:eastAsia="Times New Roman" w:cs="Times New Roman"/>
          <w:szCs w:val="24"/>
        </w:rPr>
        <w:t xml:space="preserve"> z </w:t>
      </w:r>
      <w:r w:rsidRPr="004E0F02">
        <w:rPr>
          <w:rFonts w:eastAsia="Times New Roman" w:cs="Times New Roman"/>
          <w:szCs w:val="24"/>
        </w:rPr>
        <w:t>201</w:t>
      </w:r>
      <w:r w:rsidR="00E45B1D" w:rsidRPr="004E0F02">
        <w:rPr>
          <w:rFonts w:eastAsia="Times New Roman" w:cs="Times New Roman"/>
          <w:szCs w:val="24"/>
        </w:rPr>
        <w:t>6 </w:t>
      </w:r>
      <w:r w:rsidRPr="004E0F02">
        <w:rPr>
          <w:rFonts w:eastAsia="Times New Roman" w:cs="Times New Roman"/>
          <w:szCs w:val="24"/>
        </w:rPr>
        <w:t>r.</w:t>
      </w:r>
    </w:p>
    <w:p w14:paraId="324C6109" w14:textId="1A5E18D0" w:rsidR="00A42682" w:rsidRPr="004E0F02" w:rsidRDefault="00A42682" w:rsidP="00A42682">
      <w:pPr>
        <w:widowControl/>
        <w:autoSpaceDE/>
        <w:autoSpaceDN/>
        <w:adjustRightInd/>
        <w:spacing w:after="120" w:line="276" w:lineRule="auto"/>
        <w:jc w:val="both"/>
        <w:rPr>
          <w:rFonts w:eastAsia="Calibri" w:cs="Times New Roman"/>
          <w:szCs w:val="24"/>
          <w:lang w:eastAsia="en-US"/>
        </w:rPr>
      </w:pPr>
      <w:r w:rsidRPr="004E0F02">
        <w:rPr>
          <w:rFonts w:eastAsia="Times New Roman" w:cs="Times New Roman"/>
          <w:szCs w:val="24"/>
        </w:rPr>
        <w:t>Nowe wyłączenia ze stosowania przepisów ustawy dotyczą</w:t>
      </w:r>
      <w:r w:rsidR="00E45B1D" w:rsidRPr="004E0F02">
        <w:rPr>
          <w:rFonts w:eastAsia="Times New Roman" w:cs="Times New Roman"/>
          <w:szCs w:val="24"/>
        </w:rPr>
        <w:t xml:space="preserve"> w </w:t>
      </w:r>
      <w:r w:rsidRPr="004E0F02">
        <w:rPr>
          <w:rFonts w:eastAsia="Times New Roman" w:cs="Times New Roman"/>
          <w:szCs w:val="24"/>
        </w:rPr>
        <w:t>określonym zakresie przedsiębiorstw publicznych</w:t>
      </w:r>
      <w:r w:rsidR="00E45B1D" w:rsidRPr="004E0F02">
        <w:rPr>
          <w:rFonts w:eastAsia="Times New Roman" w:cs="Times New Roman"/>
          <w:szCs w:val="24"/>
        </w:rPr>
        <w:t xml:space="preserve"> w </w:t>
      </w:r>
      <w:r w:rsidRPr="004E0F02">
        <w:rPr>
          <w:rFonts w:eastAsia="Times New Roman" w:cs="Times New Roman"/>
          <w:szCs w:val="24"/>
        </w:rPr>
        <w:t>rozumieniu</w:t>
      </w:r>
      <w:r w:rsidR="00E45B1D" w:rsidRPr="004E0F02">
        <w:rPr>
          <w:rFonts w:eastAsia="Times New Roman" w:cs="Times New Roman"/>
          <w:szCs w:val="24"/>
        </w:rPr>
        <w:t xml:space="preserve"> art. 2 pkt 3 </w:t>
      </w:r>
      <w:r w:rsidRPr="004E0F02">
        <w:rPr>
          <w:rFonts w:eastAsia="Times New Roman" w:cs="Times New Roman"/>
          <w:szCs w:val="24"/>
        </w:rPr>
        <w:t>dyrektywy 2019/1024/UE. Przepisy ustawy nie znajdą zastosowania do informacji sektora publicznego będących</w:t>
      </w:r>
      <w:r w:rsidR="00E45B1D" w:rsidRPr="004E0F02">
        <w:rPr>
          <w:rFonts w:eastAsia="Times New Roman" w:cs="Times New Roman"/>
          <w:szCs w:val="24"/>
        </w:rPr>
        <w:t xml:space="preserve"> w </w:t>
      </w:r>
      <w:r w:rsidRPr="004E0F02">
        <w:rPr>
          <w:rFonts w:eastAsia="Times New Roman" w:cs="Times New Roman"/>
          <w:szCs w:val="24"/>
        </w:rPr>
        <w:t>posiadaniu podmiotów,</w:t>
      </w:r>
      <w:r w:rsidR="00E45B1D" w:rsidRPr="004E0F02">
        <w:rPr>
          <w:rFonts w:eastAsia="Times New Roman" w:cs="Times New Roman"/>
          <w:szCs w:val="24"/>
        </w:rPr>
        <w:t xml:space="preserve"> o </w:t>
      </w:r>
      <w:r w:rsidRPr="004E0F02">
        <w:rPr>
          <w:rFonts w:eastAsia="Times New Roman" w:cs="Times New Roman"/>
          <w:szCs w:val="24"/>
        </w:rPr>
        <w:t>których mowa</w:t>
      </w:r>
      <w:r w:rsidR="00E45B1D" w:rsidRPr="004E0F02">
        <w:rPr>
          <w:rFonts w:eastAsia="Times New Roman" w:cs="Times New Roman"/>
          <w:szCs w:val="24"/>
        </w:rPr>
        <w:t xml:space="preserve"> w art. 3 pkt 5 </w:t>
      </w:r>
      <w:r w:rsidRPr="004E0F02">
        <w:rPr>
          <w:rFonts w:eastAsia="Times New Roman" w:cs="Times New Roman"/>
          <w:szCs w:val="24"/>
        </w:rPr>
        <w:t>projektu ustawy,</w:t>
      </w:r>
      <w:r w:rsidR="00E45B1D" w:rsidRPr="004E0F02">
        <w:rPr>
          <w:rFonts w:eastAsia="Times New Roman" w:cs="Times New Roman"/>
          <w:szCs w:val="24"/>
        </w:rPr>
        <w:t xml:space="preserve"> </w:t>
      </w:r>
      <w:r w:rsidR="00E45B1D" w:rsidRPr="004E0F02">
        <w:rPr>
          <w:rFonts w:eastAsia="Calibri" w:cs="Times New Roman"/>
          <w:szCs w:val="24"/>
          <w:lang w:eastAsia="en-US"/>
        </w:rPr>
        <w:t>w</w:t>
      </w:r>
      <w:r w:rsidR="00E45B1D" w:rsidRPr="004E0F02">
        <w:rPr>
          <w:rFonts w:eastAsia="Times New Roman" w:cs="Times New Roman"/>
          <w:szCs w:val="24"/>
        </w:rPr>
        <w:t> </w:t>
      </w:r>
      <w:r w:rsidRPr="004E0F02">
        <w:rPr>
          <w:rFonts w:eastAsia="Calibri" w:cs="Times New Roman"/>
          <w:szCs w:val="24"/>
          <w:lang w:eastAsia="en-US"/>
        </w:rPr>
        <w:t>zakresie</w:t>
      </w:r>
      <w:r w:rsidR="00E45B1D" w:rsidRPr="004E0F02">
        <w:rPr>
          <w:rFonts w:eastAsia="Calibri" w:cs="Times New Roman"/>
          <w:szCs w:val="24"/>
          <w:lang w:eastAsia="en-US"/>
        </w:rPr>
        <w:t xml:space="preserve"> w </w:t>
      </w:r>
      <w:r w:rsidRPr="004E0F02">
        <w:rPr>
          <w:rFonts w:eastAsia="Calibri" w:cs="Times New Roman"/>
          <w:szCs w:val="24"/>
          <w:lang w:eastAsia="en-US"/>
        </w:rPr>
        <w:t>jakim informacje te</w:t>
      </w:r>
      <w:r w:rsidR="00B73CCD" w:rsidRPr="004E0F02">
        <w:rPr>
          <w:rFonts w:eastAsia="Times New Roman" w:cs="Times New Roman"/>
          <w:szCs w:val="24"/>
        </w:rPr>
        <w:t> </w:t>
      </w:r>
      <w:r w:rsidRPr="004E0F02">
        <w:rPr>
          <w:rFonts w:eastAsia="Times New Roman" w:cs="Times New Roman"/>
          <w:szCs w:val="24"/>
        </w:rPr>
        <w:t>wytworzone zostały poza zakresem zadań publicznych oraz</w:t>
      </w:r>
      <w:r w:rsidR="00E45B1D" w:rsidRPr="004E0F02">
        <w:rPr>
          <w:rFonts w:eastAsia="Times New Roman" w:cs="Times New Roman"/>
          <w:szCs w:val="24"/>
        </w:rPr>
        <w:t xml:space="preserve"> w </w:t>
      </w:r>
      <w:r w:rsidRPr="004E0F02">
        <w:rPr>
          <w:rFonts w:eastAsia="Times New Roman" w:cs="Times New Roman"/>
          <w:szCs w:val="24"/>
        </w:rPr>
        <w:t>przypadku,</w:t>
      </w:r>
      <w:r w:rsidR="00E45B1D" w:rsidRPr="004E0F02">
        <w:rPr>
          <w:rFonts w:eastAsia="Times New Roman" w:cs="Times New Roman"/>
          <w:szCs w:val="24"/>
        </w:rPr>
        <w:t xml:space="preserve"> w </w:t>
      </w:r>
      <w:r w:rsidRPr="004E0F02">
        <w:rPr>
          <w:rFonts w:eastAsia="Times New Roman" w:cs="Times New Roman"/>
          <w:szCs w:val="24"/>
        </w:rPr>
        <w:t>którym informacje te wytworzone zostały</w:t>
      </w:r>
      <w:r w:rsidR="00E45B1D" w:rsidRPr="004E0F02">
        <w:rPr>
          <w:rFonts w:eastAsia="Times New Roman" w:cs="Times New Roman"/>
          <w:szCs w:val="24"/>
        </w:rPr>
        <w:t xml:space="preserve"> w </w:t>
      </w:r>
      <w:r w:rsidRPr="004E0F02">
        <w:rPr>
          <w:rFonts w:eastAsia="Times New Roman" w:cs="Times New Roman"/>
          <w:szCs w:val="24"/>
        </w:rPr>
        <w:t>ramach działalności uznanej przez Komisję Europejską zgodnie</w:t>
      </w:r>
      <w:r w:rsidR="00E45B1D" w:rsidRPr="004E0F02">
        <w:rPr>
          <w:rFonts w:eastAsia="Times New Roman" w:cs="Times New Roman"/>
          <w:szCs w:val="24"/>
        </w:rPr>
        <w:t xml:space="preserve"> z art. </w:t>
      </w:r>
      <w:r w:rsidRPr="004E0F02">
        <w:rPr>
          <w:rFonts w:eastAsia="Times New Roman" w:cs="Times New Roman"/>
          <w:szCs w:val="24"/>
        </w:rPr>
        <w:t>3</w:t>
      </w:r>
      <w:r w:rsidR="00E45B1D" w:rsidRPr="004E0F02">
        <w:rPr>
          <w:rFonts w:eastAsia="Times New Roman" w:cs="Times New Roman"/>
          <w:szCs w:val="24"/>
        </w:rPr>
        <w:t>4 </w:t>
      </w:r>
      <w:r w:rsidRPr="004E0F02">
        <w:rPr>
          <w:rFonts w:eastAsia="Times New Roman" w:cs="Times New Roman"/>
          <w:szCs w:val="24"/>
        </w:rPr>
        <w:t xml:space="preserve">dyrektywy 2014/25/UE, za działalność </w:t>
      </w:r>
      <w:r w:rsidRPr="004E0F02">
        <w:rPr>
          <w:rFonts w:eastAsia="Calibri" w:cs="Times New Roman"/>
          <w:szCs w:val="24"/>
          <w:lang w:eastAsia="en-US"/>
        </w:rPr>
        <w:t>bezpośrednio podlegającą konkurencji</w:t>
      </w:r>
      <w:r w:rsidR="00E45B1D" w:rsidRPr="004E0F02">
        <w:rPr>
          <w:rFonts w:eastAsia="Calibri" w:cs="Times New Roman"/>
          <w:szCs w:val="24"/>
          <w:lang w:eastAsia="en-US"/>
        </w:rPr>
        <w:t xml:space="preserve"> i </w:t>
      </w:r>
      <w:r w:rsidRPr="004E0F02">
        <w:rPr>
          <w:rFonts w:eastAsia="Calibri" w:cs="Times New Roman"/>
          <w:szCs w:val="24"/>
          <w:lang w:eastAsia="en-US"/>
        </w:rPr>
        <w:t>tym samym wyłączoną spod regulacji wskazanej dyrektywy.</w:t>
      </w:r>
    </w:p>
    <w:p w14:paraId="373351B0" w14:textId="6E4ED38C" w:rsidR="00A42682" w:rsidRPr="004E0F02" w:rsidRDefault="00B55CF8" w:rsidP="00C74BD9">
      <w:pPr>
        <w:widowControl/>
        <w:autoSpaceDE/>
        <w:autoSpaceDN/>
        <w:adjustRightInd/>
        <w:spacing w:after="120" w:line="276" w:lineRule="auto"/>
        <w:jc w:val="both"/>
        <w:rPr>
          <w:rFonts w:eastAsia="Times New Roman" w:cs="Times New Roman"/>
          <w:szCs w:val="24"/>
        </w:rPr>
      </w:pPr>
      <w:r w:rsidRPr="004E0F02">
        <w:rPr>
          <w:rFonts w:eastAsia="Calibri" w:cs="Times New Roman"/>
          <w:szCs w:val="24"/>
          <w:lang w:eastAsia="en-US"/>
        </w:rPr>
        <w:t xml:space="preserve">W ramach przepisów dot. podmiotów, o których mowa w art. </w:t>
      </w:r>
      <w:r w:rsidR="00C74BD9" w:rsidRPr="004E0F02">
        <w:rPr>
          <w:rFonts w:eastAsia="Calibri" w:cs="Times New Roman"/>
          <w:szCs w:val="24"/>
          <w:lang w:eastAsia="en-US"/>
        </w:rPr>
        <w:t>7 ust. 1 ustawy   Prawo o </w:t>
      </w:r>
      <w:r w:rsidRPr="004E0F02">
        <w:rPr>
          <w:rFonts w:eastAsia="Calibri" w:cs="Times New Roman"/>
          <w:szCs w:val="24"/>
          <w:lang w:eastAsia="en-US"/>
        </w:rPr>
        <w:t xml:space="preserve">szkolnictwie wyższym i nauce) dodano nowy wyjątek od generalnego wyłączenia z regulacji ustawowej informacji sektora publicznego będących w posiadaniu podmiotów sektora nauki, tj. informacji będących w posiadaniu muzeów państwowych oraz muzeów samorządowych prowadzących działalność naukową. </w:t>
      </w:r>
    </w:p>
    <w:p w14:paraId="15D119D4" w14:textId="5D8C97E2"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Zgodnie</w:t>
      </w:r>
      <w:r w:rsidR="00E45B1D" w:rsidRPr="004E0F02">
        <w:rPr>
          <w:rFonts w:eastAsia="Times New Roman" w:cs="Times New Roman"/>
          <w:szCs w:val="24"/>
        </w:rPr>
        <w:t xml:space="preserve"> z art. 4 ust. 2 </w:t>
      </w:r>
      <w:r w:rsidRPr="004E0F02">
        <w:rPr>
          <w:rFonts w:eastAsia="Times New Roman" w:cs="Times New Roman"/>
          <w:szCs w:val="24"/>
        </w:rPr>
        <w:t>projektu ustawy wyłączenia</w:t>
      </w:r>
      <w:r w:rsidR="00E45B1D" w:rsidRPr="004E0F02">
        <w:rPr>
          <w:rFonts w:eastAsia="Times New Roman" w:cs="Times New Roman"/>
          <w:szCs w:val="24"/>
        </w:rPr>
        <w:t xml:space="preserve"> z </w:t>
      </w:r>
      <w:r w:rsidRPr="004E0F02">
        <w:rPr>
          <w:rFonts w:eastAsia="Times New Roman" w:cs="Times New Roman"/>
          <w:szCs w:val="24"/>
        </w:rPr>
        <w:t>zakresu regulacyjnego ustawy nie znajdują zastosowania do informacji publicznych podlegających udostępnieniu</w:t>
      </w:r>
      <w:r w:rsidR="00E45B1D" w:rsidRPr="004E0F02">
        <w:rPr>
          <w:rFonts w:eastAsia="Times New Roman" w:cs="Times New Roman"/>
          <w:szCs w:val="24"/>
        </w:rPr>
        <w:t xml:space="preserve"> w </w:t>
      </w:r>
      <w:r w:rsidRPr="004E0F02">
        <w:rPr>
          <w:rFonts w:eastAsia="Times New Roman" w:cs="Times New Roman"/>
          <w:szCs w:val="24"/>
        </w:rPr>
        <w:t>Biuletynie Informacji Publicznej (BIP). Innymi słowy przepisów ustawy nie stosuje się do informacji sektora publicznego będących</w:t>
      </w:r>
      <w:r w:rsidR="00E45B1D" w:rsidRPr="004E0F02">
        <w:rPr>
          <w:rFonts w:eastAsia="Times New Roman" w:cs="Times New Roman"/>
          <w:szCs w:val="24"/>
        </w:rPr>
        <w:t xml:space="preserve"> w </w:t>
      </w:r>
      <w:r w:rsidRPr="004E0F02">
        <w:rPr>
          <w:rFonts w:eastAsia="Times New Roman" w:cs="Times New Roman"/>
          <w:szCs w:val="24"/>
        </w:rPr>
        <w:t>posiadaniu podmiotów wskazanych</w:t>
      </w:r>
      <w:r w:rsidR="00E45B1D" w:rsidRPr="004E0F02">
        <w:rPr>
          <w:rFonts w:eastAsia="Times New Roman" w:cs="Times New Roman"/>
          <w:szCs w:val="24"/>
        </w:rPr>
        <w:t xml:space="preserve"> w art. 4 ust. 1 </w:t>
      </w:r>
      <w:r w:rsidRPr="004E0F02">
        <w:rPr>
          <w:rFonts w:eastAsia="Times New Roman" w:cs="Times New Roman"/>
          <w:szCs w:val="24"/>
        </w:rPr>
        <w:t>projektu ustawy, z</w:t>
      </w:r>
      <w:r w:rsidR="00C339C3" w:rsidRPr="004E0F02">
        <w:rPr>
          <w:rFonts w:eastAsia="Times New Roman" w:cs="Times New Roman"/>
          <w:szCs w:val="24"/>
        </w:rPr>
        <w:t> </w:t>
      </w:r>
      <w:r w:rsidRPr="004E0F02">
        <w:rPr>
          <w:rFonts w:eastAsia="Times New Roman" w:cs="Times New Roman"/>
          <w:szCs w:val="24"/>
        </w:rPr>
        <w:t>wyjątkiem informacji podlegających</w:t>
      </w:r>
      <w:r w:rsidR="00E45B1D" w:rsidRPr="004E0F02">
        <w:rPr>
          <w:rFonts w:eastAsia="Times New Roman" w:cs="Times New Roman"/>
          <w:szCs w:val="24"/>
        </w:rPr>
        <w:t xml:space="preserve"> z </w:t>
      </w:r>
      <w:r w:rsidRPr="004E0F02">
        <w:rPr>
          <w:rFonts w:eastAsia="Times New Roman" w:cs="Times New Roman"/>
          <w:szCs w:val="24"/>
        </w:rPr>
        <w:t>mocy prawa obowiązkowi udostępnienia</w:t>
      </w:r>
      <w:r w:rsidR="00E45B1D" w:rsidRPr="004E0F02">
        <w:rPr>
          <w:rFonts w:eastAsia="Times New Roman" w:cs="Times New Roman"/>
          <w:szCs w:val="24"/>
        </w:rPr>
        <w:t xml:space="preserve"> w </w:t>
      </w:r>
      <w:r w:rsidRPr="004E0F02">
        <w:rPr>
          <w:rFonts w:eastAsia="Times New Roman" w:cs="Times New Roman"/>
          <w:szCs w:val="24"/>
        </w:rPr>
        <w:t xml:space="preserve">BIP. Przez </w:t>
      </w:r>
      <w:r w:rsidR="00E45B1D" w:rsidRPr="004E0F02">
        <w:rPr>
          <w:rFonts w:eastAsia="Times New Roman" w:cs="Times New Roman"/>
          <w:szCs w:val="24"/>
        </w:rPr>
        <w:t>„</w:t>
      </w:r>
      <w:r w:rsidRPr="004E0F02">
        <w:rPr>
          <w:rFonts w:eastAsia="Times New Roman" w:cs="Times New Roman"/>
          <w:szCs w:val="24"/>
        </w:rPr>
        <w:t>informacje publiczne podlegające udostępnieniu</w:t>
      </w:r>
      <w:r w:rsidR="00E45B1D" w:rsidRPr="004E0F02">
        <w:rPr>
          <w:rFonts w:eastAsia="Times New Roman" w:cs="Times New Roman"/>
          <w:szCs w:val="24"/>
        </w:rPr>
        <w:t xml:space="preserve"> w </w:t>
      </w:r>
      <w:r w:rsidRPr="004E0F02">
        <w:rPr>
          <w:rFonts w:eastAsia="Times New Roman" w:cs="Times New Roman"/>
          <w:szCs w:val="24"/>
        </w:rPr>
        <w:t>Biuletynie Informacji Publicznej</w:t>
      </w:r>
      <w:r w:rsidR="00E45B1D" w:rsidRPr="004E0F02">
        <w:rPr>
          <w:rFonts w:eastAsia="Times New Roman" w:cs="Times New Roman"/>
          <w:szCs w:val="24"/>
        </w:rPr>
        <w:t>”</w:t>
      </w:r>
      <w:r w:rsidRPr="004E0F02">
        <w:rPr>
          <w:rFonts w:eastAsia="Times New Roman" w:cs="Times New Roman"/>
          <w:szCs w:val="24"/>
        </w:rPr>
        <w:t xml:space="preserve"> należy</w:t>
      </w:r>
      <w:r w:rsidR="00E45B1D" w:rsidRPr="004E0F02">
        <w:rPr>
          <w:rFonts w:eastAsia="Times New Roman" w:cs="Times New Roman"/>
          <w:szCs w:val="24"/>
        </w:rPr>
        <w:t xml:space="preserve"> z </w:t>
      </w:r>
      <w:r w:rsidRPr="004E0F02">
        <w:rPr>
          <w:rFonts w:eastAsia="Times New Roman" w:cs="Times New Roman"/>
          <w:szCs w:val="24"/>
        </w:rPr>
        <w:t>kolei rozumieć wszystkie informacje publiczne, których obowiązek umieszczenia</w:t>
      </w:r>
      <w:r w:rsidR="00E45B1D" w:rsidRPr="004E0F02">
        <w:rPr>
          <w:rFonts w:eastAsia="Times New Roman" w:cs="Times New Roman"/>
          <w:szCs w:val="24"/>
        </w:rPr>
        <w:t xml:space="preserve"> w </w:t>
      </w:r>
      <w:r w:rsidRPr="004E0F02">
        <w:rPr>
          <w:rFonts w:eastAsia="Times New Roman" w:cs="Times New Roman"/>
          <w:szCs w:val="24"/>
        </w:rPr>
        <w:t>BIP jest prawnie określony. Obowiązek taki wynikać może</w:t>
      </w:r>
      <w:r w:rsidR="00E45B1D" w:rsidRPr="004E0F02">
        <w:rPr>
          <w:rFonts w:eastAsia="Times New Roman" w:cs="Times New Roman"/>
          <w:szCs w:val="24"/>
        </w:rPr>
        <w:t xml:space="preserve"> z </w:t>
      </w:r>
      <w:r w:rsidRPr="004E0F02">
        <w:rPr>
          <w:rFonts w:eastAsia="Times New Roman" w:cs="Times New Roman"/>
          <w:szCs w:val="24"/>
        </w:rPr>
        <w:t>przepisów ustawy</w:t>
      </w:r>
      <w:r w:rsidR="00E45B1D" w:rsidRPr="004E0F02">
        <w:rPr>
          <w:rFonts w:eastAsia="Times New Roman" w:cs="Times New Roman"/>
          <w:szCs w:val="24"/>
        </w:rPr>
        <w:t xml:space="preserve"> o </w:t>
      </w:r>
      <w:r w:rsidRPr="004E0F02">
        <w:rPr>
          <w:rFonts w:eastAsia="Times New Roman" w:cs="Times New Roman"/>
          <w:szCs w:val="24"/>
        </w:rPr>
        <w:t>dostępie do informacji publicznej lub przepisów innych ustaw.</w:t>
      </w:r>
    </w:p>
    <w:p w14:paraId="11D889E6" w14:textId="34E6518F" w:rsidR="00A42682" w:rsidRPr="004E0F02" w:rsidRDefault="00A42682" w:rsidP="00A42682">
      <w:pPr>
        <w:widowControl/>
        <w:spacing w:before="240" w:after="120" w:line="276" w:lineRule="auto"/>
        <w:jc w:val="both"/>
        <w:rPr>
          <w:rFonts w:eastAsia="Times New Roman" w:cs="Times New Roman"/>
          <w:szCs w:val="24"/>
        </w:rPr>
      </w:pPr>
      <w:r w:rsidRPr="004E0F02">
        <w:rPr>
          <w:rFonts w:eastAsia="Times New Roman" w:cs="Times New Roman"/>
          <w:szCs w:val="24"/>
        </w:rPr>
        <w:t>Przepisów ustawy, stosownie do</w:t>
      </w:r>
      <w:r w:rsidR="00E45B1D" w:rsidRPr="004E0F02">
        <w:rPr>
          <w:rFonts w:eastAsia="Times New Roman" w:cs="Times New Roman"/>
          <w:szCs w:val="24"/>
        </w:rPr>
        <w:t xml:space="preserve"> art. 4 ust. 3 </w:t>
      </w:r>
      <w:r w:rsidRPr="004E0F02">
        <w:rPr>
          <w:rFonts w:eastAsia="Times New Roman" w:cs="Times New Roman"/>
          <w:szCs w:val="24"/>
        </w:rPr>
        <w:t>projektu ustawy, nie stosuje się ponadto do</w:t>
      </w:r>
      <w:r w:rsidR="00C339C3" w:rsidRPr="004E0F02">
        <w:rPr>
          <w:rFonts w:eastAsia="Times New Roman" w:cs="Times New Roman"/>
          <w:szCs w:val="24"/>
        </w:rPr>
        <w:t> </w:t>
      </w:r>
      <w:r w:rsidRPr="004E0F02">
        <w:rPr>
          <w:rFonts w:eastAsia="Times New Roman" w:cs="Times New Roman"/>
          <w:szCs w:val="24"/>
        </w:rPr>
        <w:t>informacji sektora publicznego, których udostępnianie lub przekazanie zostało uzależnione od wykazania przez użytkowników interesu prawnego lub faktycznego na podstawie odrębnych przepisów.</w:t>
      </w:r>
    </w:p>
    <w:p w14:paraId="3B2EF2A7" w14:textId="194831A9"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Podmiotowe prawo publiczne do korzystania</w:t>
      </w:r>
      <w:r w:rsidR="00E45B1D" w:rsidRPr="004E0F02">
        <w:rPr>
          <w:rFonts w:eastAsia="Times New Roman" w:cs="Times New Roman"/>
          <w:szCs w:val="24"/>
        </w:rPr>
        <w:t xml:space="preserve"> z </w:t>
      </w:r>
      <w:r w:rsidRPr="004E0F02">
        <w:rPr>
          <w:rFonts w:eastAsia="Times New Roman" w:cs="Times New Roman"/>
          <w:szCs w:val="24"/>
        </w:rPr>
        <w:t>danych.</w:t>
      </w:r>
    </w:p>
    <w:p w14:paraId="131FD00E" w14:textId="426049E7" w:rsidR="00A42682" w:rsidRPr="004E0F02" w:rsidRDefault="00A42682" w:rsidP="00A42682">
      <w:pPr>
        <w:widowControl/>
        <w:autoSpaceDE/>
        <w:autoSpaceDN/>
        <w:adjustRightInd/>
        <w:spacing w:after="120" w:line="276" w:lineRule="auto"/>
        <w:jc w:val="both"/>
        <w:rPr>
          <w:rFonts w:eastAsia="Calibri" w:cs="Times New Roman"/>
          <w:szCs w:val="24"/>
          <w:lang w:eastAsia="en-US"/>
        </w:rPr>
      </w:pPr>
      <w:r w:rsidRPr="004E0F02">
        <w:rPr>
          <w:rFonts w:eastAsia="Calibri" w:cs="Times New Roman"/>
          <w:szCs w:val="24"/>
          <w:lang w:eastAsia="en-US"/>
        </w:rPr>
        <w:t>Przepis</w:t>
      </w:r>
      <w:r w:rsidR="00E45B1D" w:rsidRPr="004E0F02">
        <w:rPr>
          <w:rFonts w:eastAsia="Calibri" w:cs="Times New Roman"/>
          <w:szCs w:val="24"/>
          <w:lang w:eastAsia="en-US"/>
        </w:rPr>
        <w:t xml:space="preserve"> art. 5 </w:t>
      </w:r>
      <w:r w:rsidRPr="004E0F02">
        <w:rPr>
          <w:rFonts w:eastAsia="Calibri" w:cs="Times New Roman"/>
          <w:szCs w:val="24"/>
          <w:lang w:eastAsia="en-US"/>
        </w:rPr>
        <w:t>projektu ustawy formułuje zasadę, że każdemu przysługuje prawo do ponownego wykorzystywania informacji sektora publicznego.</w:t>
      </w:r>
      <w:r w:rsidRPr="004E0F02">
        <w:rPr>
          <w:rFonts w:eastAsia="Calibri" w:cs="Times New Roman"/>
          <w:i/>
          <w:szCs w:val="24"/>
          <w:lang w:eastAsia="en-US"/>
        </w:rPr>
        <w:t xml:space="preserve"> </w:t>
      </w:r>
      <w:r w:rsidRPr="004E0F02">
        <w:rPr>
          <w:rFonts w:eastAsia="Calibri" w:cs="Times New Roman"/>
          <w:szCs w:val="24"/>
          <w:lang w:eastAsia="en-US"/>
        </w:rPr>
        <w:t xml:space="preserve">Ze względu na źródła pozyskiwania informacji sektora publicznego do ponownego wykorzystywania należy wyszczególnić udostępnianie danych poprzez system teleinformatyczny (np. BIP, portal otwartych danych lub inny system teleinformatyczny podmiotu zobowiązanego) oraz przekazywanie informacji </w:t>
      </w:r>
      <w:r w:rsidRPr="004E0F02">
        <w:rPr>
          <w:rFonts w:eastAsia="Calibri" w:cs="Times New Roman"/>
          <w:szCs w:val="24"/>
          <w:lang w:eastAsia="en-US"/>
        </w:rPr>
        <w:lastRenderedPageBreak/>
        <w:t>(na</w:t>
      </w:r>
      <w:r w:rsidR="00C339C3" w:rsidRPr="004E0F02">
        <w:rPr>
          <w:rFonts w:eastAsia="Calibri" w:cs="Times New Roman"/>
          <w:szCs w:val="24"/>
          <w:lang w:eastAsia="en-US"/>
        </w:rPr>
        <w:t> </w:t>
      </w:r>
      <w:r w:rsidRPr="004E0F02">
        <w:rPr>
          <w:rFonts w:eastAsia="Calibri" w:cs="Times New Roman"/>
          <w:szCs w:val="24"/>
          <w:lang w:eastAsia="en-US"/>
        </w:rPr>
        <w:t>wniosek). Od sposobu udostępnienia oraz spełnienia określonych</w:t>
      </w:r>
      <w:r w:rsidR="00E45B1D" w:rsidRPr="004E0F02">
        <w:rPr>
          <w:rFonts w:eastAsia="Calibri" w:cs="Times New Roman"/>
          <w:szCs w:val="24"/>
          <w:lang w:eastAsia="en-US"/>
        </w:rPr>
        <w:t xml:space="preserve"> w </w:t>
      </w:r>
      <w:r w:rsidRPr="004E0F02">
        <w:rPr>
          <w:rFonts w:eastAsia="Calibri" w:cs="Times New Roman"/>
          <w:szCs w:val="24"/>
          <w:lang w:eastAsia="en-US"/>
        </w:rPr>
        <w:t>projekcie ustawy warunków będzie zależało czy informacje sektora publicznego można wykorzystywać bez składania odrębnych wniosków.</w:t>
      </w:r>
    </w:p>
    <w:p w14:paraId="467D6554" w14:textId="77777777"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Ograniczenia prawa do ponownego wykorzystywania.</w:t>
      </w:r>
    </w:p>
    <w:p w14:paraId="53A522DA" w14:textId="286026C8" w:rsidR="00A42682" w:rsidRPr="004E0F02" w:rsidRDefault="00A42682" w:rsidP="00A42682">
      <w:pPr>
        <w:widowControl/>
        <w:autoSpaceDE/>
        <w:autoSpaceDN/>
        <w:adjustRightInd/>
        <w:spacing w:after="120" w:line="276" w:lineRule="auto"/>
        <w:jc w:val="both"/>
        <w:rPr>
          <w:rFonts w:eastAsia="Calibri" w:cs="Times New Roman"/>
          <w:szCs w:val="24"/>
          <w:lang w:eastAsia="en-US"/>
        </w:rPr>
      </w:pPr>
      <w:r w:rsidRPr="004E0F02">
        <w:rPr>
          <w:rFonts w:eastAsia="Calibri" w:cs="Times New Roman"/>
          <w:szCs w:val="24"/>
          <w:lang w:eastAsia="en-US"/>
        </w:rPr>
        <w:t>W</w:t>
      </w:r>
      <w:r w:rsidR="00E45B1D" w:rsidRPr="004E0F02">
        <w:rPr>
          <w:rFonts w:eastAsia="Calibri" w:cs="Times New Roman"/>
          <w:szCs w:val="24"/>
          <w:lang w:eastAsia="en-US"/>
        </w:rPr>
        <w:t xml:space="preserve"> art. 6 </w:t>
      </w:r>
      <w:r w:rsidRPr="004E0F02">
        <w:rPr>
          <w:rFonts w:eastAsia="Calibri" w:cs="Times New Roman"/>
          <w:szCs w:val="24"/>
          <w:lang w:eastAsia="en-US"/>
        </w:rPr>
        <w:t>projektu ustawy wprowadzone zostały ograniczenia prawa do ponownego wykorzystywania informacji sektora publicznego:</w:t>
      </w:r>
    </w:p>
    <w:p w14:paraId="0136EF26" w14:textId="77777777" w:rsidR="00A42682" w:rsidRPr="004E0F02" w:rsidRDefault="00A42682" w:rsidP="004D2DA7">
      <w:pPr>
        <w:widowControl/>
        <w:numPr>
          <w:ilvl w:val="0"/>
          <w:numId w:val="12"/>
        </w:numPr>
        <w:autoSpaceDE/>
        <w:autoSpaceDN/>
        <w:adjustRightInd/>
        <w:spacing w:after="120" w:line="276" w:lineRule="auto"/>
        <w:jc w:val="both"/>
        <w:rPr>
          <w:rFonts w:eastAsia="Calibri" w:cs="Times New Roman"/>
          <w:szCs w:val="24"/>
          <w:lang w:eastAsia="en-US"/>
        </w:rPr>
      </w:pPr>
      <w:r w:rsidRPr="004E0F02">
        <w:rPr>
          <w:rFonts w:eastAsia="Calibri" w:cs="Times New Roman"/>
          <w:szCs w:val="24"/>
          <w:lang w:eastAsia="en-US"/>
        </w:rPr>
        <w:t>ze względu na ochronę informacji niejawnych oraz ochronę innych tajemnic ustawowo chronionych;</w:t>
      </w:r>
    </w:p>
    <w:p w14:paraId="33813223" w14:textId="45D30EA6" w:rsidR="00A42682" w:rsidRPr="004E0F02" w:rsidRDefault="00A42682" w:rsidP="004D2DA7">
      <w:pPr>
        <w:widowControl/>
        <w:numPr>
          <w:ilvl w:val="0"/>
          <w:numId w:val="12"/>
        </w:numPr>
        <w:autoSpaceDE/>
        <w:autoSpaceDN/>
        <w:adjustRightInd/>
        <w:spacing w:after="120" w:line="276" w:lineRule="auto"/>
        <w:jc w:val="both"/>
        <w:rPr>
          <w:rFonts w:eastAsia="Calibri" w:cs="Times New Roman"/>
          <w:szCs w:val="24"/>
          <w:lang w:eastAsia="en-US"/>
        </w:rPr>
      </w:pPr>
      <w:r w:rsidRPr="004E0F02">
        <w:rPr>
          <w:rFonts w:eastAsia="Calibri" w:cs="Times New Roman"/>
          <w:szCs w:val="24"/>
          <w:lang w:eastAsia="en-US"/>
        </w:rPr>
        <w:t>ze względu na tajemnicę przedsiębiorstwa lub prywatność osoby fizycznej,</w:t>
      </w:r>
      <w:r w:rsidR="00E45B1D" w:rsidRPr="004E0F02">
        <w:rPr>
          <w:rFonts w:eastAsia="Calibri" w:cs="Times New Roman"/>
          <w:szCs w:val="24"/>
          <w:lang w:eastAsia="en-US"/>
        </w:rPr>
        <w:t xml:space="preserve"> w </w:t>
      </w:r>
      <w:r w:rsidRPr="004E0F02">
        <w:rPr>
          <w:rFonts w:eastAsia="Calibri" w:cs="Times New Roman"/>
          <w:szCs w:val="24"/>
          <w:lang w:eastAsia="en-US"/>
        </w:rPr>
        <w:t>tym ochronę danych osobowych;</w:t>
      </w:r>
    </w:p>
    <w:p w14:paraId="7E6D3E6E" w14:textId="77777777" w:rsidR="00A42682" w:rsidRPr="004E0F02" w:rsidRDefault="00A42682" w:rsidP="004D2DA7">
      <w:pPr>
        <w:widowControl/>
        <w:numPr>
          <w:ilvl w:val="0"/>
          <w:numId w:val="12"/>
        </w:numPr>
        <w:autoSpaceDE/>
        <w:autoSpaceDN/>
        <w:adjustRightInd/>
        <w:spacing w:after="120" w:line="276" w:lineRule="auto"/>
        <w:jc w:val="both"/>
        <w:rPr>
          <w:rFonts w:eastAsia="Calibri" w:cs="Times New Roman"/>
          <w:szCs w:val="24"/>
          <w:lang w:eastAsia="en-US"/>
        </w:rPr>
      </w:pPr>
      <w:r w:rsidRPr="004E0F02">
        <w:rPr>
          <w:rFonts w:eastAsia="Calibri" w:cs="Times New Roman"/>
          <w:szCs w:val="24"/>
          <w:lang w:eastAsia="en-US"/>
        </w:rPr>
        <w:t>do których dostęp jest ograniczony na podstawie innych ustaw szczególnych.</w:t>
      </w:r>
    </w:p>
    <w:p w14:paraId="400105DF" w14:textId="71074EDF"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 xml:space="preserve">W przypadku punktu </w:t>
      </w:r>
      <w:r w:rsidR="00E45B1D" w:rsidRPr="004E0F02">
        <w:rPr>
          <w:rFonts w:eastAsia="Calibri" w:cs="Times New Roman"/>
          <w:szCs w:val="24"/>
          <w:lang w:eastAsia="en-US"/>
        </w:rPr>
        <w:t>2 i 3 </w:t>
      </w:r>
      <w:r w:rsidRPr="004E0F02">
        <w:rPr>
          <w:rFonts w:eastAsia="Calibri" w:cs="Times New Roman"/>
          <w:szCs w:val="24"/>
          <w:lang w:eastAsia="en-US"/>
        </w:rPr>
        <w:t>ograniczenie to nie dotyczy informacji</w:t>
      </w:r>
      <w:r w:rsidR="00E45B1D" w:rsidRPr="004E0F02">
        <w:rPr>
          <w:rFonts w:eastAsia="Calibri" w:cs="Times New Roman"/>
          <w:szCs w:val="24"/>
          <w:lang w:eastAsia="en-US"/>
        </w:rPr>
        <w:t xml:space="preserve"> o </w:t>
      </w:r>
      <w:r w:rsidRPr="004E0F02">
        <w:rPr>
          <w:rFonts w:eastAsia="Calibri" w:cs="Times New Roman"/>
          <w:szCs w:val="24"/>
          <w:lang w:eastAsia="en-US"/>
        </w:rPr>
        <w:t>osobach pełniących funkcje publiczne, mających związek</w:t>
      </w:r>
      <w:r w:rsidR="00E45B1D" w:rsidRPr="004E0F02">
        <w:rPr>
          <w:rFonts w:eastAsia="Calibri" w:cs="Times New Roman"/>
          <w:szCs w:val="24"/>
          <w:lang w:eastAsia="en-US"/>
        </w:rPr>
        <w:t xml:space="preserve"> z </w:t>
      </w:r>
      <w:r w:rsidRPr="004E0F02">
        <w:rPr>
          <w:rFonts w:eastAsia="Calibri" w:cs="Times New Roman"/>
          <w:szCs w:val="24"/>
          <w:lang w:eastAsia="en-US"/>
        </w:rPr>
        <w:t>pełnieniem tych funkcji,</w:t>
      </w:r>
      <w:r w:rsidR="00E45B1D" w:rsidRPr="004E0F02">
        <w:rPr>
          <w:rFonts w:eastAsia="Calibri" w:cs="Times New Roman"/>
          <w:szCs w:val="24"/>
          <w:lang w:eastAsia="en-US"/>
        </w:rPr>
        <w:t xml:space="preserve"> w </w:t>
      </w:r>
      <w:r w:rsidRPr="004E0F02">
        <w:rPr>
          <w:rFonts w:eastAsia="Calibri" w:cs="Times New Roman"/>
          <w:szCs w:val="24"/>
          <w:lang w:eastAsia="en-US"/>
        </w:rPr>
        <w:t>tym</w:t>
      </w:r>
      <w:r w:rsidR="00E45B1D" w:rsidRPr="004E0F02">
        <w:rPr>
          <w:rFonts w:eastAsia="Calibri" w:cs="Times New Roman"/>
          <w:szCs w:val="24"/>
          <w:lang w:eastAsia="en-US"/>
        </w:rPr>
        <w:t xml:space="preserve"> o </w:t>
      </w:r>
      <w:r w:rsidRPr="004E0F02">
        <w:rPr>
          <w:rFonts w:eastAsia="Calibri" w:cs="Times New Roman"/>
          <w:szCs w:val="24"/>
          <w:lang w:eastAsia="en-US"/>
        </w:rPr>
        <w:t>warunkach powierzenia i wykonywania funkcji, oraz przypadku gdy osoba fizyczna wyrazi zgodę na przetwarzanie jej danych osobowych</w:t>
      </w:r>
      <w:r w:rsidR="00E45B1D" w:rsidRPr="004E0F02">
        <w:rPr>
          <w:rFonts w:eastAsia="Calibri" w:cs="Times New Roman"/>
          <w:szCs w:val="24"/>
          <w:lang w:eastAsia="en-US"/>
        </w:rPr>
        <w:t xml:space="preserve"> w </w:t>
      </w:r>
      <w:r w:rsidRPr="004E0F02">
        <w:rPr>
          <w:rFonts w:eastAsia="Calibri" w:cs="Times New Roman"/>
          <w:szCs w:val="24"/>
          <w:lang w:eastAsia="en-US"/>
        </w:rPr>
        <w:t>celu ponownego wykorzystywania lub gdy przedsiębiorca rezygnuje z</w:t>
      </w:r>
      <w:r w:rsidR="00C339C3" w:rsidRPr="004E0F02">
        <w:rPr>
          <w:rFonts w:eastAsia="Calibri" w:cs="Times New Roman"/>
          <w:szCs w:val="24"/>
          <w:lang w:eastAsia="en-US"/>
        </w:rPr>
        <w:t> </w:t>
      </w:r>
      <w:r w:rsidRPr="004E0F02">
        <w:rPr>
          <w:rFonts w:eastAsia="Calibri" w:cs="Times New Roman"/>
          <w:szCs w:val="24"/>
          <w:lang w:eastAsia="en-US"/>
        </w:rPr>
        <w:t xml:space="preserve">przysługującego mu prawa. </w:t>
      </w:r>
    </w:p>
    <w:p w14:paraId="024B20A5" w14:textId="489CF623"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Prawo do ponownego wykorzystywania podlega ponadto ograniczeniu</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zakresie informacji sektora publicznego (art. </w:t>
      </w:r>
      <w:r w:rsidR="00E45B1D" w:rsidRPr="004E0F02">
        <w:rPr>
          <w:rFonts w:eastAsia="Calibri" w:cs="Times New Roman"/>
          <w:szCs w:val="24"/>
          <w:lang w:eastAsia="en-US"/>
        </w:rPr>
        <w:t>6 ust. 4 </w:t>
      </w:r>
      <w:r w:rsidRPr="004E0F02">
        <w:rPr>
          <w:rFonts w:eastAsia="Calibri" w:cs="Times New Roman"/>
          <w:szCs w:val="24"/>
          <w:lang w:eastAsia="en-US"/>
        </w:rPr>
        <w:t>projektu ustawy):</w:t>
      </w:r>
    </w:p>
    <w:p w14:paraId="17300B3F" w14:textId="77777777" w:rsidR="00A42682" w:rsidRPr="004E0F02" w:rsidRDefault="00A42682" w:rsidP="004D2DA7">
      <w:pPr>
        <w:widowControl/>
        <w:numPr>
          <w:ilvl w:val="0"/>
          <w:numId w:val="29"/>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których wytwarzanie przez podmioty zobowiązane nie należy do zakresu ich zadań publicznych określonych prawem;</w:t>
      </w:r>
    </w:p>
    <w:p w14:paraId="292C374C" w14:textId="55E3CB10" w:rsidR="00A42682" w:rsidRPr="004E0F02" w:rsidRDefault="00A42682" w:rsidP="004D2DA7">
      <w:pPr>
        <w:widowControl/>
        <w:numPr>
          <w:ilvl w:val="0"/>
          <w:numId w:val="29"/>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powiązanych</w:t>
      </w:r>
      <w:r w:rsidR="00E45B1D" w:rsidRPr="004E0F02">
        <w:rPr>
          <w:rFonts w:eastAsia="Calibri" w:cs="Times New Roman"/>
          <w:szCs w:val="24"/>
          <w:lang w:eastAsia="en-US"/>
        </w:rPr>
        <w:t xml:space="preserve"> z </w:t>
      </w:r>
      <w:r w:rsidRPr="004E0F02">
        <w:rPr>
          <w:rFonts w:eastAsia="Calibri" w:cs="Times New Roman"/>
          <w:szCs w:val="24"/>
          <w:lang w:eastAsia="en-US"/>
        </w:rPr>
        <w:t>depozytami znajdującymi się</w:t>
      </w:r>
      <w:r w:rsidR="00E45B1D" w:rsidRPr="004E0F02">
        <w:rPr>
          <w:rFonts w:eastAsia="Calibri" w:cs="Times New Roman"/>
          <w:szCs w:val="24"/>
          <w:lang w:eastAsia="en-US"/>
        </w:rPr>
        <w:t xml:space="preserve"> w </w:t>
      </w:r>
      <w:r w:rsidRPr="004E0F02">
        <w:rPr>
          <w:rFonts w:eastAsia="Calibri" w:cs="Times New Roman"/>
          <w:szCs w:val="24"/>
          <w:lang w:eastAsia="en-US"/>
        </w:rPr>
        <w:t>posiadaniu podmiotu zobowiązanego, o</w:t>
      </w:r>
      <w:r w:rsidR="00C339C3" w:rsidRPr="004E0F02">
        <w:rPr>
          <w:rFonts w:eastAsia="Calibri" w:cs="Times New Roman"/>
          <w:szCs w:val="24"/>
          <w:lang w:eastAsia="en-US"/>
        </w:rPr>
        <w:t> </w:t>
      </w:r>
      <w:r w:rsidRPr="004E0F02">
        <w:rPr>
          <w:rFonts w:eastAsia="Calibri" w:cs="Times New Roman"/>
          <w:szCs w:val="24"/>
          <w:lang w:eastAsia="en-US"/>
        </w:rPr>
        <w:t>ile ich właściciele umownie wyłączyli możliwość ich udostępniania lub przekazywania</w:t>
      </w:r>
      <w:r w:rsidR="00E45B1D" w:rsidRPr="004E0F02">
        <w:rPr>
          <w:rFonts w:eastAsia="Calibri" w:cs="Times New Roman"/>
          <w:szCs w:val="24"/>
          <w:lang w:eastAsia="en-US"/>
        </w:rPr>
        <w:t xml:space="preserve"> w </w:t>
      </w:r>
      <w:r w:rsidRPr="004E0F02">
        <w:rPr>
          <w:rFonts w:eastAsia="Calibri" w:cs="Times New Roman"/>
          <w:szCs w:val="24"/>
          <w:lang w:eastAsia="en-US"/>
        </w:rPr>
        <w:t>całości lub</w:t>
      </w:r>
      <w:r w:rsidR="00E45B1D" w:rsidRPr="004E0F02">
        <w:rPr>
          <w:rFonts w:eastAsia="Calibri" w:cs="Times New Roman"/>
          <w:szCs w:val="24"/>
          <w:lang w:eastAsia="en-US"/>
        </w:rPr>
        <w:t xml:space="preserve"> w </w:t>
      </w:r>
      <w:r w:rsidRPr="004E0F02">
        <w:rPr>
          <w:rFonts w:eastAsia="Calibri" w:cs="Times New Roman"/>
          <w:szCs w:val="24"/>
          <w:lang w:eastAsia="en-US"/>
        </w:rPr>
        <w:t>określonym zakresie;</w:t>
      </w:r>
    </w:p>
    <w:p w14:paraId="699F4ADB" w14:textId="6F1301B7" w:rsidR="00B55CF8" w:rsidRPr="004E0F02" w:rsidRDefault="00B55CF8" w:rsidP="00B55CF8">
      <w:pPr>
        <w:widowControl/>
        <w:numPr>
          <w:ilvl w:val="0"/>
          <w:numId w:val="29"/>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objętych prawami własności przemysłowej w rozumieniu przepisów ustawy z dnia 30 czerwca 2000 r. – Prawo własności przemysłowej (Dz. U. z 2020 r. poz. 286, z późn. zm.) lub prawami własności przemysłowej podlegających ochronie na podstawie umów międzynarodowych lub przepisów prawa Unii Europejskiej</w:t>
      </w:r>
    </w:p>
    <w:p w14:paraId="20522D10" w14:textId="4FA1CD44" w:rsidR="00A42682" w:rsidRPr="004E0F02" w:rsidRDefault="00A42682" w:rsidP="004D2DA7">
      <w:pPr>
        <w:widowControl/>
        <w:numPr>
          <w:ilvl w:val="0"/>
          <w:numId w:val="29"/>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do których prawa autorskie</w:t>
      </w:r>
      <w:r w:rsidR="00E45B1D" w:rsidRPr="004E0F02">
        <w:rPr>
          <w:rFonts w:eastAsia="Calibri" w:cs="Times New Roman"/>
          <w:szCs w:val="24"/>
          <w:lang w:eastAsia="en-US"/>
        </w:rPr>
        <w:t xml:space="preserve"> i </w:t>
      </w:r>
      <w:r w:rsidRPr="004E0F02">
        <w:rPr>
          <w:rFonts w:eastAsia="Calibri" w:cs="Times New Roman"/>
          <w:szCs w:val="24"/>
          <w:lang w:eastAsia="en-US"/>
        </w:rPr>
        <w:t>prawa pokrewne</w:t>
      </w:r>
      <w:r w:rsidRPr="004E0F02">
        <w:rPr>
          <w:rFonts w:eastAsia="Calibri" w:cs="Times New Roman"/>
          <w:szCs w:val="24"/>
          <w:vertAlign w:val="superscript"/>
          <w:lang w:eastAsia="en-US"/>
        </w:rPr>
        <w:footnoteReference w:id="29"/>
      </w:r>
      <w:r w:rsidRPr="004E0F02">
        <w:rPr>
          <w:rFonts w:eastAsia="Times New Roman" w:cs="Times New Roman"/>
          <w:szCs w:val="24"/>
          <w:vertAlign w:val="superscript"/>
        </w:rPr>
        <w:t>)</w:t>
      </w:r>
      <w:r w:rsidR="00687090" w:rsidRPr="004E0F02">
        <w:rPr>
          <w:rFonts w:eastAsia="Calibri" w:cs="Times New Roman"/>
          <w:szCs w:val="24"/>
          <w:lang w:eastAsia="en-US"/>
        </w:rPr>
        <w:t xml:space="preserve">, </w:t>
      </w:r>
      <w:r w:rsidRPr="004E0F02">
        <w:rPr>
          <w:rFonts w:eastAsia="Calibri" w:cs="Times New Roman"/>
          <w:szCs w:val="24"/>
          <w:lang w:eastAsia="en-US"/>
        </w:rPr>
        <w:t>prawa do baz danych</w:t>
      </w:r>
      <w:r w:rsidRPr="004E0F02">
        <w:rPr>
          <w:rFonts w:eastAsia="Calibri" w:cs="Times New Roman"/>
          <w:szCs w:val="24"/>
          <w:vertAlign w:val="superscript"/>
          <w:lang w:eastAsia="en-US"/>
        </w:rPr>
        <w:footnoteReference w:id="30"/>
      </w:r>
      <w:r w:rsidRPr="004E0F02">
        <w:rPr>
          <w:rFonts w:eastAsia="Times New Roman" w:cs="Times New Roman"/>
          <w:szCs w:val="24"/>
          <w:vertAlign w:val="superscript"/>
        </w:rPr>
        <w:t>)</w:t>
      </w:r>
      <w:r w:rsidRPr="004E0F02">
        <w:rPr>
          <w:rFonts w:eastAsia="Calibri" w:cs="Times New Roman"/>
          <w:szCs w:val="24"/>
          <w:lang w:eastAsia="en-US"/>
        </w:rPr>
        <w:t xml:space="preserve"> </w:t>
      </w:r>
      <w:r w:rsidR="00B55CF8" w:rsidRPr="004E0F02">
        <w:rPr>
          <w:rFonts w:eastAsia="Calibri" w:cs="Times New Roman"/>
          <w:szCs w:val="24"/>
          <w:lang w:eastAsia="en-US"/>
        </w:rPr>
        <w:t xml:space="preserve">oraz </w:t>
      </w:r>
      <w:r w:rsidRPr="004E0F02">
        <w:rPr>
          <w:rFonts w:eastAsia="Calibri" w:cs="Times New Roman"/>
          <w:szCs w:val="24"/>
          <w:lang w:eastAsia="en-US"/>
        </w:rPr>
        <w:t>prawa do</w:t>
      </w:r>
      <w:r w:rsidR="00C339C3" w:rsidRPr="004E0F02">
        <w:rPr>
          <w:rFonts w:eastAsia="Calibri" w:cs="Times New Roman"/>
          <w:szCs w:val="24"/>
          <w:lang w:eastAsia="en-US"/>
        </w:rPr>
        <w:t> </w:t>
      </w:r>
      <w:r w:rsidRPr="004E0F02">
        <w:rPr>
          <w:rFonts w:eastAsia="Calibri" w:cs="Times New Roman"/>
          <w:szCs w:val="24"/>
          <w:lang w:eastAsia="en-US"/>
        </w:rPr>
        <w:t>odmian roślin</w:t>
      </w:r>
      <w:r w:rsidRPr="004E0F02">
        <w:rPr>
          <w:rFonts w:eastAsia="Calibri" w:cs="Times New Roman"/>
          <w:szCs w:val="24"/>
          <w:vertAlign w:val="superscript"/>
          <w:lang w:eastAsia="en-US"/>
        </w:rPr>
        <w:footnoteReference w:id="31"/>
      </w:r>
      <w:r w:rsidRPr="004E0F02">
        <w:rPr>
          <w:rFonts w:eastAsia="Times New Roman" w:cs="Times New Roman"/>
          <w:szCs w:val="24"/>
          <w:vertAlign w:val="superscript"/>
        </w:rPr>
        <w:t>)</w:t>
      </w:r>
      <w:r w:rsidRPr="004E0F02">
        <w:rPr>
          <w:rFonts w:eastAsia="Calibri" w:cs="Times New Roman"/>
          <w:szCs w:val="24"/>
          <w:lang w:eastAsia="en-US"/>
        </w:rPr>
        <w:t>przysługują podmiotom innym niż podmioty zobowiązane;</w:t>
      </w:r>
    </w:p>
    <w:p w14:paraId="0B97791C" w14:textId="4128F1F4" w:rsidR="00A42682" w:rsidRPr="004E0F02" w:rsidRDefault="00A42682" w:rsidP="004D2DA7">
      <w:pPr>
        <w:widowControl/>
        <w:numPr>
          <w:ilvl w:val="0"/>
          <w:numId w:val="29"/>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będących</w:t>
      </w:r>
      <w:r w:rsidR="00E45B1D" w:rsidRPr="004E0F02">
        <w:rPr>
          <w:rFonts w:eastAsia="Calibri" w:cs="Times New Roman"/>
          <w:szCs w:val="24"/>
          <w:lang w:eastAsia="en-US"/>
        </w:rPr>
        <w:t xml:space="preserve"> w </w:t>
      </w:r>
      <w:r w:rsidRPr="004E0F02">
        <w:rPr>
          <w:rFonts w:eastAsia="Calibri" w:cs="Times New Roman"/>
          <w:szCs w:val="24"/>
          <w:lang w:eastAsia="en-US"/>
        </w:rPr>
        <w:t>posiadaniu muzeów państwowych, muzeów samorządowych, bibliotek publicznych, bibliotek naukowych lub archiwów,</w:t>
      </w:r>
      <w:r w:rsidR="00E45B1D" w:rsidRPr="004E0F02">
        <w:rPr>
          <w:rFonts w:eastAsia="Calibri" w:cs="Times New Roman"/>
          <w:szCs w:val="24"/>
          <w:lang w:eastAsia="en-US"/>
        </w:rPr>
        <w:t xml:space="preserve"> w </w:t>
      </w:r>
      <w:r w:rsidRPr="004E0F02">
        <w:rPr>
          <w:rFonts w:eastAsia="Calibri" w:cs="Times New Roman"/>
          <w:szCs w:val="24"/>
          <w:lang w:eastAsia="en-US"/>
        </w:rPr>
        <w:t>przypadku gdy pierwotnym właścicielem autorskich praw majątkowych lub praw pokrewnych były podmioty inne niż podmioty zobowiązane,</w:t>
      </w:r>
      <w:r w:rsidR="00E45B1D" w:rsidRPr="004E0F02">
        <w:rPr>
          <w:rFonts w:eastAsia="Calibri" w:cs="Times New Roman"/>
          <w:szCs w:val="24"/>
          <w:lang w:eastAsia="en-US"/>
        </w:rPr>
        <w:t xml:space="preserve"> a </w:t>
      </w:r>
      <w:r w:rsidRPr="004E0F02">
        <w:rPr>
          <w:rFonts w:eastAsia="Calibri" w:cs="Times New Roman"/>
          <w:szCs w:val="24"/>
          <w:lang w:eastAsia="en-US"/>
        </w:rPr>
        <w:t>czas trwania tych praw nie wygasł;</w:t>
      </w:r>
    </w:p>
    <w:p w14:paraId="4D0DE6C9" w14:textId="65540E09" w:rsidR="00A42682" w:rsidRPr="004E0F02" w:rsidRDefault="00A42682" w:rsidP="004D2DA7">
      <w:pPr>
        <w:widowControl/>
        <w:numPr>
          <w:ilvl w:val="0"/>
          <w:numId w:val="29"/>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lastRenderedPageBreak/>
        <w:t>które są wyłączone</w:t>
      </w:r>
      <w:r w:rsidR="00E45B1D" w:rsidRPr="004E0F02">
        <w:rPr>
          <w:rFonts w:eastAsia="Calibri" w:cs="Times New Roman"/>
          <w:szCs w:val="24"/>
          <w:lang w:eastAsia="en-US"/>
        </w:rPr>
        <w:t xml:space="preserve"> z </w:t>
      </w:r>
      <w:r w:rsidRPr="004E0F02">
        <w:rPr>
          <w:rFonts w:eastAsia="Calibri" w:cs="Times New Roman"/>
          <w:szCs w:val="24"/>
          <w:lang w:eastAsia="en-US"/>
        </w:rPr>
        <w:t>dostępu lub do których dostęp jest ograniczony ze względu na</w:t>
      </w:r>
      <w:r w:rsidR="00C339C3" w:rsidRPr="004E0F02">
        <w:rPr>
          <w:rFonts w:eastAsia="Calibri" w:cs="Times New Roman"/>
          <w:szCs w:val="24"/>
          <w:lang w:eastAsia="en-US"/>
        </w:rPr>
        <w:t> </w:t>
      </w:r>
      <w:r w:rsidRPr="004E0F02">
        <w:rPr>
          <w:rFonts w:eastAsia="Calibri" w:cs="Times New Roman"/>
          <w:szCs w:val="24"/>
          <w:lang w:eastAsia="en-US"/>
        </w:rPr>
        <w:t>ochronę infrastruktury krytycznej</w:t>
      </w:r>
      <w:r w:rsidR="00E45B1D" w:rsidRPr="004E0F02">
        <w:rPr>
          <w:rFonts w:eastAsia="Calibri" w:cs="Times New Roman"/>
          <w:szCs w:val="24"/>
          <w:lang w:eastAsia="en-US"/>
        </w:rPr>
        <w:t xml:space="preserve"> w </w:t>
      </w:r>
      <w:r w:rsidRPr="004E0F02">
        <w:rPr>
          <w:rFonts w:eastAsia="Calibri" w:cs="Times New Roman"/>
          <w:szCs w:val="24"/>
          <w:lang w:eastAsia="en-US"/>
        </w:rPr>
        <w:t>rozumieniu przepisów ustawy</w:t>
      </w:r>
      <w:r w:rsidR="00E45B1D" w:rsidRPr="004E0F02">
        <w:rPr>
          <w:rFonts w:eastAsia="Calibri" w:cs="Times New Roman"/>
          <w:szCs w:val="24"/>
          <w:lang w:eastAsia="en-US"/>
        </w:rPr>
        <w:t xml:space="preserve"> z </w:t>
      </w:r>
      <w:r w:rsidRPr="004E0F02">
        <w:rPr>
          <w:rFonts w:eastAsia="Calibri" w:cs="Times New Roman"/>
          <w:szCs w:val="24"/>
          <w:lang w:eastAsia="en-US"/>
        </w:rPr>
        <w:t>dnia 26</w:t>
      </w:r>
      <w:r w:rsidR="00C339C3" w:rsidRPr="004E0F02">
        <w:rPr>
          <w:rFonts w:eastAsia="Calibri" w:cs="Times New Roman"/>
          <w:szCs w:val="24"/>
          <w:lang w:eastAsia="en-US"/>
        </w:rPr>
        <w:t> </w:t>
      </w:r>
      <w:r w:rsidRPr="004E0F02">
        <w:rPr>
          <w:rFonts w:eastAsia="Calibri" w:cs="Times New Roman"/>
          <w:szCs w:val="24"/>
          <w:lang w:eastAsia="en-US"/>
        </w:rPr>
        <w:t>kwietnia 200</w:t>
      </w:r>
      <w:r w:rsidR="00E45B1D" w:rsidRPr="004E0F02">
        <w:rPr>
          <w:rFonts w:eastAsia="Calibri" w:cs="Times New Roman"/>
          <w:szCs w:val="24"/>
          <w:lang w:eastAsia="en-US"/>
        </w:rPr>
        <w:t>7 </w:t>
      </w:r>
      <w:r w:rsidRPr="004E0F02">
        <w:rPr>
          <w:rFonts w:eastAsia="Calibri" w:cs="Times New Roman"/>
          <w:szCs w:val="24"/>
          <w:lang w:eastAsia="en-US"/>
        </w:rPr>
        <w:t>r. o zarządzaniu kryzysowym (</w:t>
      </w:r>
      <w:r w:rsidR="00E45B1D" w:rsidRPr="004E0F02">
        <w:rPr>
          <w:rFonts w:eastAsia="Calibri" w:cs="Times New Roman"/>
          <w:szCs w:val="24"/>
          <w:lang w:eastAsia="en-US"/>
        </w:rPr>
        <w:t>Dz. U. z </w:t>
      </w:r>
      <w:r w:rsidR="00B55CF8" w:rsidRPr="004E0F02">
        <w:rPr>
          <w:rFonts w:eastAsia="Calibri" w:cs="Times New Roman"/>
          <w:szCs w:val="24"/>
          <w:lang w:eastAsia="en-US"/>
        </w:rPr>
        <w:t>2020 </w:t>
      </w:r>
      <w:r w:rsidRPr="004E0F02">
        <w:rPr>
          <w:rFonts w:eastAsia="Calibri" w:cs="Times New Roman"/>
          <w:szCs w:val="24"/>
          <w:lang w:eastAsia="en-US"/>
        </w:rPr>
        <w:t>r. poz.</w:t>
      </w:r>
      <w:r w:rsidR="00B55CF8" w:rsidRPr="004E0F02">
        <w:rPr>
          <w:rFonts w:eastAsia="Calibri" w:cs="Times New Roman"/>
          <w:szCs w:val="24"/>
          <w:lang w:eastAsia="en-US"/>
        </w:rPr>
        <w:t>1856</w:t>
      </w:r>
      <w:r w:rsidRPr="004E0F02">
        <w:rPr>
          <w:rFonts w:eastAsia="Calibri" w:cs="Times New Roman"/>
          <w:szCs w:val="24"/>
          <w:lang w:eastAsia="en-US"/>
        </w:rPr>
        <w:t>);</w:t>
      </w:r>
    </w:p>
    <w:p w14:paraId="295B8F07" w14:textId="64AB6A13" w:rsidR="00A42682" w:rsidRPr="004E0F02" w:rsidRDefault="00A42682" w:rsidP="004D2DA7">
      <w:pPr>
        <w:widowControl/>
        <w:numPr>
          <w:ilvl w:val="0"/>
          <w:numId w:val="29"/>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stanowiących program komputerowy,</w:t>
      </w:r>
      <w:r w:rsidR="00E45B1D" w:rsidRPr="004E0F02">
        <w:rPr>
          <w:rFonts w:eastAsia="Calibri" w:cs="Times New Roman"/>
          <w:szCs w:val="24"/>
          <w:lang w:eastAsia="en-US"/>
        </w:rPr>
        <w:t xml:space="preserve"> z </w:t>
      </w:r>
      <w:r w:rsidRPr="004E0F02">
        <w:rPr>
          <w:rFonts w:eastAsia="Calibri" w:cs="Times New Roman"/>
          <w:szCs w:val="24"/>
          <w:lang w:eastAsia="en-US"/>
        </w:rPr>
        <w:t>zastrzeżeniem</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0 ust. </w:t>
      </w:r>
      <w:r w:rsidR="00B55CF8" w:rsidRPr="004E0F02">
        <w:rPr>
          <w:rFonts w:eastAsia="Calibri" w:cs="Times New Roman"/>
          <w:szCs w:val="24"/>
          <w:lang w:eastAsia="en-US"/>
        </w:rPr>
        <w:t>5</w:t>
      </w:r>
      <w:r w:rsidRPr="004E0F02">
        <w:rPr>
          <w:rFonts w:eastAsia="Calibri" w:cs="Times New Roman"/>
          <w:szCs w:val="24"/>
          <w:lang w:eastAsia="en-US"/>
        </w:rPr>
        <w:t>.</w:t>
      </w:r>
    </w:p>
    <w:p w14:paraId="388AC97F" w14:textId="1F114FF1" w:rsidR="00A42682" w:rsidRPr="004E0F02" w:rsidRDefault="00A42682" w:rsidP="004265EB">
      <w:pPr>
        <w:widowControl/>
        <w:spacing w:before="240" w:after="120" w:line="276" w:lineRule="auto"/>
        <w:jc w:val="both"/>
        <w:rPr>
          <w:rFonts w:eastAsia="Calibri" w:cs="Times New Roman"/>
          <w:szCs w:val="24"/>
          <w:lang w:eastAsia="en-US"/>
        </w:rPr>
      </w:pPr>
      <w:r w:rsidRPr="004E0F02">
        <w:rPr>
          <w:rFonts w:eastAsia="Calibri" w:cs="Times New Roman"/>
          <w:szCs w:val="24"/>
          <w:lang w:eastAsia="en-US"/>
        </w:rPr>
        <w:t>Ograniczenie,</w:t>
      </w:r>
      <w:r w:rsidR="00E45B1D" w:rsidRPr="004E0F02">
        <w:rPr>
          <w:rFonts w:eastAsia="Calibri" w:cs="Times New Roman"/>
          <w:szCs w:val="24"/>
          <w:lang w:eastAsia="en-US"/>
        </w:rPr>
        <w:t xml:space="preserve"> o </w:t>
      </w:r>
      <w:r w:rsidRPr="004E0F02">
        <w:rPr>
          <w:rFonts w:eastAsia="Calibri" w:cs="Times New Roman"/>
          <w:szCs w:val="24"/>
          <w:lang w:eastAsia="en-US"/>
        </w:rPr>
        <w:t>którym mowa</w:t>
      </w:r>
      <w:r w:rsidR="00E45B1D" w:rsidRPr="004E0F02">
        <w:rPr>
          <w:rFonts w:eastAsia="Calibri" w:cs="Times New Roman"/>
          <w:szCs w:val="24"/>
          <w:lang w:eastAsia="en-US"/>
        </w:rPr>
        <w:t xml:space="preserve"> w pkt </w:t>
      </w:r>
      <w:r w:rsidR="00B55CF8" w:rsidRPr="004E0F02">
        <w:rPr>
          <w:rFonts w:eastAsia="Calibri" w:cs="Times New Roman"/>
          <w:szCs w:val="24"/>
          <w:lang w:eastAsia="en-US"/>
        </w:rPr>
        <w:t>5</w:t>
      </w:r>
      <w:r w:rsidRPr="004E0F02">
        <w:rPr>
          <w:rFonts w:eastAsia="Calibri" w:cs="Times New Roman"/>
          <w:szCs w:val="24"/>
          <w:lang w:eastAsia="en-US"/>
        </w:rPr>
        <w:t>, może mieć znaczenie</w:t>
      </w:r>
      <w:r w:rsidR="00E45B1D" w:rsidRPr="004E0F02">
        <w:rPr>
          <w:rFonts w:eastAsia="Calibri" w:cs="Times New Roman"/>
          <w:szCs w:val="24"/>
          <w:lang w:eastAsia="en-US"/>
        </w:rPr>
        <w:t xml:space="preserve"> w </w:t>
      </w:r>
      <w:r w:rsidRPr="004E0F02">
        <w:rPr>
          <w:rFonts w:eastAsia="Calibri" w:cs="Times New Roman"/>
          <w:szCs w:val="24"/>
          <w:lang w:eastAsia="en-US"/>
        </w:rPr>
        <w:t>odniesieniu do części zasobów bibliotek, archiwów</w:t>
      </w:r>
      <w:r w:rsidR="00E45B1D" w:rsidRPr="004E0F02">
        <w:rPr>
          <w:rFonts w:eastAsia="Calibri" w:cs="Times New Roman"/>
          <w:szCs w:val="24"/>
          <w:lang w:eastAsia="en-US"/>
        </w:rPr>
        <w:t xml:space="preserve"> i </w:t>
      </w:r>
      <w:r w:rsidRPr="004E0F02">
        <w:rPr>
          <w:rFonts w:eastAsia="Calibri" w:cs="Times New Roman"/>
          <w:szCs w:val="24"/>
          <w:lang w:eastAsia="en-US"/>
        </w:rPr>
        <w:t>muzeów. Podmioty te posiadają</w:t>
      </w:r>
      <w:r w:rsidR="00E45B1D" w:rsidRPr="004E0F02">
        <w:rPr>
          <w:rFonts w:eastAsia="Calibri" w:cs="Times New Roman"/>
          <w:szCs w:val="24"/>
          <w:lang w:eastAsia="en-US"/>
        </w:rPr>
        <w:t xml:space="preserve"> w </w:t>
      </w:r>
      <w:r w:rsidRPr="004E0F02">
        <w:rPr>
          <w:rFonts w:eastAsia="Calibri" w:cs="Times New Roman"/>
          <w:szCs w:val="24"/>
          <w:lang w:eastAsia="en-US"/>
        </w:rPr>
        <w:t>swoich zbiorach informacje sektora publicznego (np. będące utworami), do których prawa własności intelektualnej mogą przysługiwać osobom trzecim. Powyższe wyłączenie</w:t>
      </w:r>
      <w:r w:rsidR="00E45B1D" w:rsidRPr="004E0F02">
        <w:rPr>
          <w:rFonts w:eastAsia="Calibri" w:cs="Times New Roman"/>
          <w:szCs w:val="24"/>
          <w:lang w:eastAsia="en-US"/>
        </w:rPr>
        <w:t xml:space="preserve"> w </w:t>
      </w:r>
      <w:r w:rsidRPr="004E0F02">
        <w:rPr>
          <w:rFonts w:eastAsia="Calibri" w:cs="Times New Roman"/>
          <w:szCs w:val="24"/>
          <w:lang w:eastAsia="en-US"/>
        </w:rPr>
        <w:t>zakresie informacji sektora publicznego będących w posiadaniu bibliotek, archiwów</w:t>
      </w:r>
      <w:r w:rsidR="00E45B1D" w:rsidRPr="004E0F02">
        <w:rPr>
          <w:rFonts w:eastAsia="Calibri" w:cs="Times New Roman"/>
          <w:szCs w:val="24"/>
          <w:lang w:eastAsia="en-US"/>
        </w:rPr>
        <w:t xml:space="preserve"> i </w:t>
      </w:r>
      <w:r w:rsidRPr="004E0F02">
        <w:rPr>
          <w:rFonts w:eastAsia="Calibri" w:cs="Times New Roman"/>
          <w:szCs w:val="24"/>
          <w:lang w:eastAsia="en-US"/>
        </w:rPr>
        <w:t>muzeów doprecyzowuje motyw 5</w:t>
      </w:r>
      <w:r w:rsidR="00E45B1D" w:rsidRPr="004E0F02">
        <w:rPr>
          <w:rFonts w:eastAsia="Calibri" w:cs="Times New Roman"/>
          <w:szCs w:val="24"/>
          <w:lang w:eastAsia="en-US"/>
        </w:rPr>
        <w:t>5 </w:t>
      </w:r>
      <w:r w:rsidRPr="004E0F02">
        <w:rPr>
          <w:rFonts w:eastAsia="Calibri" w:cs="Times New Roman"/>
          <w:szCs w:val="24"/>
          <w:lang w:eastAsia="en-US"/>
        </w:rPr>
        <w:t>preambuły dyrektywy 2019/1024/UE. Zgodnie</w:t>
      </w:r>
      <w:r w:rsidR="00E45B1D" w:rsidRPr="004E0F02">
        <w:rPr>
          <w:rFonts w:eastAsia="Calibri" w:cs="Times New Roman"/>
          <w:szCs w:val="24"/>
          <w:lang w:eastAsia="en-US"/>
        </w:rPr>
        <w:t xml:space="preserve"> z </w:t>
      </w:r>
      <w:r w:rsidRPr="004E0F02">
        <w:rPr>
          <w:rFonts w:eastAsia="Calibri" w:cs="Times New Roman"/>
          <w:szCs w:val="24"/>
          <w:lang w:eastAsia="en-US"/>
        </w:rPr>
        <w:t>nim,</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przypadku gdy </w:t>
      </w:r>
      <w:r w:rsidRPr="004E0F02">
        <w:rPr>
          <w:rFonts w:eastAsia="Times New Roman" w:cs="Times New Roman"/>
          <w:szCs w:val="24"/>
        </w:rPr>
        <w:t>pierwotnym właścicielem praw własności intelektualnej do dokumentu, który jest</w:t>
      </w:r>
      <w:r w:rsidR="00E45B1D" w:rsidRPr="004E0F02">
        <w:rPr>
          <w:rFonts w:eastAsia="Times New Roman" w:cs="Times New Roman"/>
          <w:szCs w:val="24"/>
        </w:rPr>
        <w:t xml:space="preserve"> w </w:t>
      </w:r>
      <w:r w:rsidRPr="004E0F02">
        <w:rPr>
          <w:rFonts w:eastAsia="Times New Roman" w:cs="Times New Roman"/>
          <w:szCs w:val="24"/>
        </w:rPr>
        <w:t>posiadaniu biblioteki,</w:t>
      </w:r>
      <w:r w:rsidR="00E45B1D" w:rsidRPr="004E0F02">
        <w:rPr>
          <w:rFonts w:eastAsia="Times New Roman" w:cs="Times New Roman"/>
          <w:szCs w:val="24"/>
        </w:rPr>
        <w:t xml:space="preserve"> w </w:t>
      </w:r>
      <w:r w:rsidRPr="004E0F02">
        <w:rPr>
          <w:rFonts w:eastAsia="Times New Roman" w:cs="Times New Roman"/>
          <w:szCs w:val="24"/>
        </w:rPr>
        <w:t>tym biblioteki uniwersyteckiej, muzeum lub archiwum, jest osoba trzecia,</w:t>
      </w:r>
      <w:r w:rsidR="00E45B1D" w:rsidRPr="004E0F02">
        <w:rPr>
          <w:rFonts w:eastAsia="Times New Roman" w:cs="Times New Roman"/>
          <w:szCs w:val="24"/>
        </w:rPr>
        <w:t xml:space="preserve"> a </w:t>
      </w:r>
      <w:r w:rsidRPr="004E0F02">
        <w:rPr>
          <w:rFonts w:eastAsia="Times New Roman" w:cs="Times New Roman"/>
          <w:szCs w:val="24"/>
        </w:rPr>
        <w:t xml:space="preserve">okres ochrony tych praw jeszcze nie wygasł, dokument taki powinien być uznawany na potrzeby niniejszej dyrektywy za dokument, do którego prawa własności intelektualnej należą do osoby trzeciej. </w:t>
      </w:r>
      <w:r w:rsidRPr="004E0F02">
        <w:rPr>
          <w:rFonts w:eastAsia="Calibri" w:cs="Times New Roman"/>
          <w:szCs w:val="24"/>
          <w:lang w:eastAsia="en-US"/>
        </w:rPr>
        <w:t>Oznacza to, że ponownemu wykorzystywaniu w zakresie informacji sektora publicznego będących</w:t>
      </w:r>
      <w:r w:rsidR="00E45B1D" w:rsidRPr="004E0F02">
        <w:rPr>
          <w:rFonts w:eastAsia="Calibri" w:cs="Times New Roman"/>
          <w:szCs w:val="24"/>
          <w:lang w:eastAsia="en-US"/>
        </w:rPr>
        <w:t xml:space="preserve"> w </w:t>
      </w:r>
      <w:r w:rsidRPr="004E0F02">
        <w:rPr>
          <w:rFonts w:eastAsia="Calibri" w:cs="Times New Roman"/>
          <w:szCs w:val="24"/>
          <w:lang w:eastAsia="en-US"/>
        </w:rPr>
        <w:t>posiadaniu archiwów, muzeów</w:t>
      </w:r>
      <w:r w:rsidR="00E45B1D" w:rsidRPr="004E0F02">
        <w:rPr>
          <w:rFonts w:eastAsia="Calibri" w:cs="Times New Roman"/>
          <w:szCs w:val="24"/>
          <w:lang w:eastAsia="en-US"/>
        </w:rPr>
        <w:t xml:space="preserve"> i </w:t>
      </w:r>
      <w:r w:rsidRPr="004E0F02">
        <w:rPr>
          <w:rFonts w:eastAsia="Calibri" w:cs="Times New Roman"/>
          <w:szCs w:val="24"/>
          <w:lang w:eastAsia="en-US"/>
        </w:rPr>
        <w:t>bibliotek podlegać będą informacje sektora publicznego, które nigdy nie podlegały ochronie prawno</w:t>
      </w:r>
      <w:r w:rsidR="00E45B1D" w:rsidRPr="004E0F02">
        <w:rPr>
          <w:rFonts w:eastAsia="Calibri" w:cs="Times New Roman"/>
          <w:szCs w:val="24"/>
          <w:lang w:eastAsia="en-US"/>
        </w:rPr>
        <w:softHyphen/>
      </w:r>
      <w:r w:rsidR="00E45B1D" w:rsidRPr="004E0F02">
        <w:rPr>
          <w:rFonts w:eastAsia="Calibri" w:cs="Times New Roman"/>
          <w:szCs w:val="24"/>
          <w:lang w:eastAsia="en-US"/>
        </w:rPr>
        <w:noBreakHyphen/>
      </w:r>
      <w:r w:rsidRPr="004E0F02">
        <w:rPr>
          <w:rFonts w:eastAsia="Calibri" w:cs="Times New Roman"/>
          <w:szCs w:val="24"/>
          <w:lang w:eastAsia="en-US"/>
        </w:rPr>
        <w:t>autorskiej lub które takiej ochronie podlegały, ale do których autorskie prawa majątkowe już wygasły.</w:t>
      </w:r>
    </w:p>
    <w:p w14:paraId="3F60F1B1" w14:textId="5BE1625D"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Ograniczenie wskazane</w:t>
      </w:r>
      <w:r w:rsidR="00E45B1D" w:rsidRPr="004E0F02">
        <w:rPr>
          <w:rFonts w:eastAsia="Calibri" w:cs="Times New Roman"/>
          <w:szCs w:val="24"/>
          <w:lang w:eastAsia="en-US"/>
        </w:rPr>
        <w:t xml:space="preserve"> w art. 6 ust. 4 pkt </w:t>
      </w:r>
      <w:r w:rsidR="00685C12" w:rsidRPr="004E0F02">
        <w:rPr>
          <w:rFonts w:eastAsia="Calibri" w:cs="Times New Roman"/>
          <w:szCs w:val="24"/>
          <w:lang w:eastAsia="en-US"/>
        </w:rPr>
        <w:t>6 </w:t>
      </w:r>
      <w:r w:rsidRPr="004E0F02">
        <w:rPr>
          <w:rFonts w:eastAsia="Calibri" w:cs="Times New Roman"/>
          <w:szCs w:val="24"/>
          <w:lang w:eastAsia="en-US"/>
        </w:rPr>
        <w:t>stanowi implementacje</w:t>
      </w:r>
      <w:r w:rsidR="00E45B1D" w:rsidRPr="004E0F02">
        <w:rPr>
          <w:rFonts w:eastAsia="Calibri" w:cs="Times New Roman"/>
          <w:szCs w:val="24"/>
          <w:lang w:eastAsia="en-US"/>
        </w:rPr>
        <w:t xml:space="preserve"> art. 1 ust. 2 lit. </w:t>
      </w:r>
      <w:r w:rsidRPr="004E0F02">
        <w:rPr>
          <w:rFonts w:eastAsia="Calibri" w:cs="Times New Roman"/>
          <w:szCs w:val="24"/>
          <w:lang w:eastAsia="en-US"/>
        </w:rPr>
        <w:t>e dyrektywy 1024/2019/UE, na podstawie którego dyrektywa nie ma zastosowania do dokumentów  wyłączonych</w:t>
      </w:r>
      <w:r w:rsidR="00E45B1D" w:rsidRPr="004E0F02">
        <w:rPr>
          <w:rFonts w:eastAsia="Calibri" w:cs="Times New Roman"/>
          <w:szCs w:val="24"/>
          <w:lang w:eastAsia="en-US"/>
        </w:rPr>
        <w:t xml:space="preserve"> z </w:t>
      </w:r>
      <w:r w:rsidRPr="004E0F02">
        <w:rPr>
          <w:rFonts w:eastAsia="Calibri" w:cs="Times New Roman"/>
          <w:szCs w:val="24"/>
          <w:lang w:eastAsia="en-US"/>
        </w:rPr>
        <w:t>dostępu lub do których dostęp jest ograniczony ze względu na szczególnie chronione informacje dotyczące ochrony infrastruktury krytycznej zgodnie</w:t>
      </w:r>
      <w:r w:rsidR="00E45B1D" w:rsidRPr="004E0F02">
        <w:rPr>
          <w:rFonts w:eastAsia="Calibri" w:cs="Times New Roman"/>
          <w:szCs w:val="24"/>
          <w:lang w:eastAsia="en-US"/>
        </w:rPr>
        <w:t xml:space="preserve"> z </w:t>
      </w:r>
      <w:r w:rsidRPr="004E0F02">
        <w:rPr>
          <w:rFonts w:eastAsia="Calibri" w:cs="Times New Roman"/>
          <w:szCs w:val="24"/>
          <w:lang w:eastAsia="en-US"/>
        </w:rPr>
        <w:t>definicją zawartą</w:t>
      </w:r>
      <w:r w:rsidR="00E45B1D" w:rsidRPr="004E0F02">
        <w:rPr>
          <w:rFonts w:eastAsia="Calibri" w:cs="Times New Roman"/>
          <w:szCs w:val="24"/>
          <w:lang w:eastAsia="en-US"/>
        </w:rPr>
        <w:t xml:space="preserve"> w art. 2 lit. </w:t>
      </w:r>
      <w:r w:rsidRPr="004E0F02">
        <w:rPr>
          <w:rFonts w:eastAsia="Calibri" w:cs="Times New Roman"/>
          <w:szCs w:val="24"/>
          <w:lang w:eastAsia="en-US"/>
        </w:rPr>
        <w:t xml:space="preserve">d dyrektywy Rady 2008/114/WE z dnia </w:t>
      </w:r>
      <w:r w:rsidR="00E45B1D" w:rsidRPr="004E0F02">
        <w:rPr>
          <w:rFonts w:eastAsia="Calibri" w:cs="Times New Roman"/>
          <w:szCs w:val="24"/>
          <w:lang w:eastAsia="en-US"/>
        </w:rPr>
        <w:t>8 </w:t>
      </w:r>
      <w:r w:rsidRPr="004E0F02">
        <w:rPr>
          <w:rFonts w:eastAsia="Calibri" w:cs="Times New Roman"/>
          <w:szCs w:val="24"/>
          <w:lang w:eastAsia="en-US"/>
        </w:rPr>
        <w:t>grudnia 200</w:t>
      </w:r>
      <w:r w:rsidR="00E45B1D" w:rsidRPr="004E0F02">
        <w:rPr>
          <w:rFonts w:eastAsia="Calibri" w:cs="Times New Roman"/>
          <w:szCs w:val="24"/>
          <w:lang w:eastAsia="en-US"/>
        </w:rPr>
        <w:t>8 </w:t>
      </w:r>
      <w:r w:rsidRPr="004E0F02">
        <w:rPr>
          <w:rFonts w:eastAsia="Calibri" w:cs="Times New Roman"/>
          <w:szCs w:val="24"/>
          <w:lang w:eastAsia="en-US"/>
        </w:rPr>
        <w:t>r.</w:t>
      </w:r>
      <w:r w:rsidR="00E45B1D" w:rsidRPr="004E0F02">
        <w:rPr>
          <w:rFonts w:eastAsia="Calibri" w:cs="Times New Roman"/>
          <w:szCs w:val="24"/>
          <w:lang w:eastAsia="en-US"/>
        </w:rPr>
        <w:t xml:space="preserve"> w </w:t>
      </w:r>
      <w:r w:rsidRPr="004E0F02">
        <w:rPr>
          <w:rFonts w:eastAsia="Calibri" w:cs="Times New Roman"/>
          <w:szCs w:val="24"/>
          <w:lang w:eastAsia="en-US"/>
        </w:rPr>
        <w:t>sprawie rozpoznawania</w:t>
      </w:r>
      <w:r w:rsidR="00E45B1D" w:rsidRPr="004E0F02">
        <w:rPr>
          <w:rFonts w:eastAsia="Calibri" w:cs="Times New Roman"/>
          <w:szCs w:val="24"/>
          <w:lang w:eastAsia="en-US"/>
        </w:rPr>
        <w:t xml:space="preserve"> i </w:t>
      </w:r>
      <w:r w:rsidRPr="004E0F02">
        <w:rPr>
          <w:rFonts w:eastAsia="Calibri" w:cs="Times New Roman"/>
          <w:szCs w:val="24"/>
          <w:lang w:eastAsia="en-US"/>
        </w:rPr>
        <w:t>wyznaczania europejskiej infrastruktury krytycznej oraz oceny potrzeb</w:t>
      </w:r>
      <w:r w:rsidR="00E45B1D" w:rsidRPr="004E0F02">
        <w:rPr>
          <w:rFonts w:eastAsia="Calibri" w:cs="Times New Roman"/>
          <w:szCs w:val="24"/>
          <w:lang w:eastAsia="en-US"/>
        </w:rPr>
        <w:t xml:space="preserve"> w </w:t>
      </w:r>
      <w:r w:rsidRPr="004E0F02">
        <w:rPr>
          <w:rFonts w:eastAsia="Calibri" w:cs="Times New Roman"/>
          <w:szCs w:val="24"/>
          <w:lang w:eastAsia="en-US"/>
        </w:rPr>
        <w:t>zakresie poprawy jej ochrony</w:t>
      </w:r>
      <w:r w:rsidRPr="004E0F02">
        <w:rPr>
          <w:rFonts w:eastAsia="Calibri" w:cs="Times New Roman"/>
          <w:szCs w:val="24"/>
          <w:vertAlign w:val="superscript"/>
          <w:lang w:eastAsia="en-US"/>
        </w:rPr>
        <w:footnoteReference w:id="32"/>
      </w:r>
      <w:r w:rsidRPr="004E0F02">
        <w:rPr>
          <w:rFonts w:eastAsia="Times New Roman" w:cs="Times New Roman"/>
          <w:szCs w:val="24"/>
          <w:vertAlign w:val="superscript"/>
        </w:rPr>
        <w:t>)</w:t>
      </w:r>
      <w:r w:rsidRPr="004E0F02">
        <w:rPr>
          <w:rFonts w:eastAsia="Calibri" w:cs="Times New Roman"/>
          <w:szCs w:val="24"/>
          <w:lang w:eastAsia="en-US"/>
        </w:rPr>
        <w:t>.</w:t>
      </w:r>
    </w:p>
    <w:p w14:paraId="0524E401" w14:textId="032A3018"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 kolei ograniczenie prawa do ponownego wykorzystywania</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zakresie informacji sektora publicznego stanowiących program komputerowy (art. </w:t>
      </w:r>
      <w:r w:rsidR="00E45B1D" w:rsidRPr="004E0F02">
        <w:rPr>
          <w:rFonts w:eastAsia="Calibri" w:cs="Times New Roman"/>
          <w:szCs w:val="24"/>
          <w:lang w:eastAsia="en-US"/>
        </w:rPr>
        <w:t>6 ust. 4 pkt </w:t>
      </w:r>
      <w:r w:rsidR="00685C12" w:rsidRPr="004E0F02">
        <w:rPr>
          <w:rFonts w:eastAsia="Calibri" w:cs="Times New Roman"/>
          <w:szCs w:val="24"/>
          <w:lang w:eastAsia="en-US"/>
        </w:rPr>
        <w:t>7</w:t>
      </w:r>
      <w:r w:rsidRPr="004E0F02">
        <w:rPr>
          <w:rFonts w:eastAsia="Calibri" w:cs="Times New Roman"/>
          <w:szCs w:val="24"/>
          <w:lang w:eastAsia="en-US"/>
        </w:rPr>
        <w:t>) jest zgodne z</w:t>
      </w:r>
      <w:r w:rsidR="006674B4" w:rsidRPr="004E0F02">
        <w:rPr>
          <w:rFonts w:eastAsia="Calibri" w:cs="Times New Roman"/>
          <w:szCs w:val="24"/>
          <w:lang w:eastAsia="en-US"/>
        </w:rPr>
        <w:t> </w:t>
      </w:r>
      <w:r w:rsidRPr="004E0F02">
        <w:rPr>
          <w:rFonts w:eastAsia="Calibri" w:cs="Times New Roman"/>
          <w:szCs w:val="24"/>
          <w:lang w:eastAsia="en-US"/>
        </w:rPr>
        <w:t xml:space="preserve">rozumieniem definicji </w:t>
      </w:r>
      <w:r w:rsidR="00E45B1D" w:rsidRPr="004E0F02">
        <w:rPr>
          <w:rFonts w:eastAsia="Calibri" w:cs="Times New Roman"/>
          <w:szCs w:val="24"/>
          <w:lang w:eastAsia="en-US"/>
        </w:rPr>
        <w:t>„</w:t>
      </w:r>
      <w:r w:rsidRPr="004E0F02">
        <w:rPr>
          <w:rFonts w:eastAsia="Calibri" w:cs="Times New Roman"/>
          <w:szCs w:val="24"/>
          <w:lang w:eastAsia="en-US"/>
        </w:rPr>
        <w:t>dokumentu</w:t>
      </w:r>
      <w:r w:rsidR="00E45B1D" w:rsidRPr="004E0F02">
        <w:rPr>
          <w:rFonts w:eastAsia="Calibri" w:cs="Times New Roman"/>
          <w:szCs w:val="24"/>
          <w:lang w:eastAsia="en-US"/>
        </w:rPr>
        <w:t>”</w:t>
      </w:r>
      <w:r w:rsidRPr="004E0F02">
        <w:rPr>
          <w:rFonts w:eastAsia="Calibri" w:cs="Times New Roman"/>
          <w:szCs w:val="24"/>
          <w:lang w:eastAsia="en-US"/>
        </w:rPr>
        <w:t xml:space="preserve"> przyjętej na gruncie dyrektywy 1024/2019/UE. Zgodnie</w:t>
      </w:r>
      <w:r w:rsidR="00E45B1D" w:rsidRPr="004E0F02">
        <w:rPr>
          <w:rFonts w:eastAsia="Calibri" w:cs="Times New Roman"/>
          <w:szCs w:val="24"/>
          <w:lang w:eastAsia="en-US"/>
        </w:rPr>
        <w:t xml:space="preserve"> z </w:t>
      </w:r>
      <w:r w:rsidRPr="004E0F02">
        <w:rPr>
          <w:rFonts w:eastAsia="Calibri" w:cs="Times New Roman"/>
          <w:szCs w:val="24"/>
          <w:lang w:eastAsia="en-US"/>
        </w:rPr>
        <w:t>motywem 3</w:t>
      </w:r>
      <w:r w:rsidR="00E45B1D" w:rsidRPr="004E0F02">
        <w:rPr>
          <w:rFonts w:eastAsia="Calibri" w:cs="Times New Roman"/>
          <w:szCs w:val="24"/>
          <w:lang w:eastAsia="en-US"/>
        </w:rPr>
        <w:t>0 </w:t>
      </w:r>
      <w:r w:rsidRPr="004E0F02">
        <w:rPr>
          <w:rFonts w:eastAsia="Calibri" w:cs="Times New Roman"/>
          <w:szCs w:val="24"/>
          <w:lang w:eastAsia="en-US"/>
        </w:rPr>
        <w:t xml:space="preserve">preambuły dyrektywy definicja </w:t>
      </w:r>
      <w:r w:rsidR="00E45B1D" w:rsidRPr="004E0F02">
        <w:rPr>
          <w:rFonts w:eastAsia="Calibri" w:cs="Times New Roman"/>
          <w:szCs w:val="24"/>
          <w:lang w:eastAsia="en-US"/>
        </w:rPr>
        <w:t>„</w:t>
      </w:r>
      <w:r w:rsidRPr="004E0F02">
        <w:rPr>
          <w:rFonts w:eastAsia="Calibri" w:cs="Times New Roman"/>
          <w:szCs w:val="24"/>
          <w:lang w:eastAsia="en-US"/>
        </w:rPr>
        <w:t>dokumentu</w:t>
      </w:r>
      <w:r w:rsidR="00E45B1D" w:rsidRPr="004E0F02">
        <w:rPr>
          <w:rFonts w:eastAsia="Calibri" w:cs="Times New Roman"/>
          <w:szCs w:val="24"/>
          <w:lang w:eastAsia="en-US"/>
        </w:rPr>
        <w:t>”</w:t>
      </w:r>
      <w:r w:rsidRPr="004E0F02">
        <w:rPr>
          <w:rFonts w:eastAsia="Calibri" w:cs="Times New Roman"/>
          <w:szCs w:val="24"/>
          <w:lang w:eastAsia="en-US"/>
        </w:rPr>
        <w:t xml:space="preserve"> wskazana</w:t>
      </w:r>
      <w:r w:rsidR="00E45B1D" w:rsidRPr="004E0F02">
        <w:rPr>
          <w:rFonts w:eastAsia="Calibri" w:cs="Times New Roman"/>
          <w:szCs w:val="24"/>
          <w:lang w:eastAsia="en-US"/>
        </w:rPr>
        <w:t xml:space="preserve"> w art. 2 pkt 6 </w:t>
      </w:r>
      <w:r w:rsidRPr="004E0F02">
        <w:rPr>
          <w:rFonts w:eastAsia="Calibri" w:cs="Times New Roman"/>
          <w:szCs w:val="24"/>
          <w:lang w:eastAsia="en-US"/>
        </w:rPr>
        <w:t>nie obejmuje programów komputerowych. Jednocześnie jednak państwa członkowskie mogą rozszerzyć zakres stosowania dyrektywy na programy komputerowe. Stąd</w:t>
      </w:r>
      <w:r w:rsidR="00E45B1D" w:rsidRPr="004E0F02">
        <w:rPr>
          <w:rFonts w:eastAsia="Calibri" w:cs="Times New Roman"/>
          <w:szCs w:val="24"/>
          <w:lang w:eastAsia="en-US"/>
        </w:rPr>
        <w:t xml:space="preserve"> w art. </w:t>
      </w:r>
      <w:r w:rsidRPr="004E0F02">
        <w:rPr>
          <w:rFonts w:eastAsia="Calibri" w:cs="Times New Roman"/>
          <w:szCs w:val="24"/>
          <w:lang w:eastAsia="en-US"/>
        </w:rPr>
        <w:t>1</w:t>
      </w:r>
      <w:r w:rsidR="00E45B1D" w:rsidRPr="004E0F02">
        <w:rPr>
          <w:rFonts w:eastAsia="Calibri" w:cs="Times New Roman"/>
          <w:szCs w:val="24"/>
          <w:lang w:eastAsia="en-US"/>
        </w:rPr>
        <w:t>0 ust. </w:t>
      </w:r>
      <w:r w:rsidR="00685C12" w:rsidRPr="004E0F02">
        <w:rPr>
          <w:rFonts w:eastAsia="Calibri" w:cs="Times New Roman"/>
          <w:szCs w:val="24"/>
          <w:lang w:eastAsia="en-US"/>
        </w:rPr>
        <w:t>5 </w:t>
      </w:r>
      <w:r w:rsidRPr="004E0F02">
        <w:rPr>
          <w:rFonts w:eastAsia="Calibri" w:cs="Times New Roman"/>
          <w:szCs w:val="24"/>
          <w:lang w:eastAsia="en-US"/>
        </w:rPr>
        <w:t>projektu ustawy wskazano możliwość przekazywania lub udostępnienia przez podmioty zobowiązane do ponownego wykorzystywania kodów źródłowych programów komputerowych opracowanych</w:t>
      </w:r>
      <w:r w:rsidR="00E45B1D" w:rsidRPr="004E0F02">
        <w:rPr>
          <w:rFonts w:eastAsia="Calibri" w:cs="Times New Roman"/>
          <w:szCs w:val="24"/>
          <w:lang w:eastAsia="en-US"/>
        </w:rPr>
        <w:t xml:space="preserve"> w </w:t>
      </w:r>
      <w:r w:rsidRPr="004E0F02">
        <w:rPr>
          <w:rFonts w:eastAsia="Calibri" w:cs="Times New Roman"/>
          <w:szCs w:val="24"/>
          <w:lang w:eastAsia="en-US"/>
        </w:rPr>
        <w:t>ramac</w:t>
      </w:r>
      <w:r w:rsidR="00687090" w:rsidRPr="004E0F02">
        <w:rPr>
          <w:rFonts w:eastAsia="Calibri" w:cs="Times New Roman"/>
          <w:szCs w:val="24"/>
          <w:lang w:eastAsia="en-US"/>
        </w:rPr>
        <w:t>h realizacji zadań publicznych.</w:t>
      </w:r>
    </w:p>
    <w:p w14:paraId="734B9F86" w14:textId="77777777"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Stosunek do innych ustaw.</w:t>
      </w:r>
    </w:p>
    <w:p w14:paraId="3733DB7B" w14:textId="4E6729DD"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Projekt ustawy</w:t>
      </w:r>
      <w:r w:rsidR="00E45B1D" w:rsidRPr="004E0F02">
        <w:rPr>
          <w:rFonts w:eastAsia="Times New Roman" w:cs="Times New Roman"/>
          <w:szCs w:val="24"/>
        </w:rPr>
        <w:t xml:space="preserve"> o </w:t>
      </w:r>
      <w:r w:rsidRPr="004E0F02">
        <w:rPr>
          <w:rFonts w:eastAsia="Times New Roman" w:cs="Times New Roman"/>
          <w:szCs w:val="24"/>
        </w:rPr>
        <w:t>ponownym wykorzystywaniu informacji sektora publicznego nie określa własnych zasad dostępu do informacji. Dostęp do informacji publicznej jest realizowany na</w:t>
      </w:r>
      <w:r w:rsidR="006674B4" w:rsidRPr="004E0F02">
        <w:rPr>
          <w:rFonts w:eastAsia="Times New Roman" w:cs="Times New Roman"/>
          <w:szCs w:val="24"/>
        </w:rPr>
        <w:t> </w:t>
      </w:r>
      <w:r w:rsidRPr="004E0F02">
        <w:rPr>
          <w:rFonts w:eastAsia="Times New Roman" w:cs="Times New Roman"/>
          <w:szCs w:val="24"/>
        </w:rPr>
        <w:t>przykład na zasadach określonych</w:t>
      </w:r>
      <w:r w:rsidR="00E45B1D" w:rsidRPr="004E0F02">
        <w:rPr>
          <w:rFonts w:eastAsia="Times New Roman" w:cs="Times New Roman"/>
          <w:szCs w:val="24"/>
        </w:rPr>
        <w:t xml:space="preserve"> w </w:t>
      </w:r>
      <w:r w:rsidRPr="004E0F02">
        <w:rPr>
          <w:rFonts w:eastAsia="Times New Roman" w:cs="Times New Roman"/>
          <w:szCs w:val="24"/>
        </w:rPr>
        <w:t>ustawie</w:t>
      </w:r>
      <w:r w:rsidR="00E45B1D" w:rsidRPr="004E0F02">
        <w:rPr>
          <w:rFonts w:eastAsia="Times New Roman" w:cs="Times New Roman"/>
          <w:szCs w:val="24"/>
        </w:rPr>
        <w:t xml:space="preserve"> o </w:t>
      </w:r>
      <w:r w:rsidRPr="004E0F02">
        <w:rPr>
          <w:rFonts w:eastAsia="Times New Roman" w:cs="Times New Roman"/>
          <w:szCs w:val="24"/>
        </w:rPr>
        <w:t xml:space="preserve">dostępie do informacji publicznej. Dostęp ten nie oznacza automatycznego prawa do ponownego wykorzystywania, poza wyjątkami </w:t>
      </w:r>
      <w:r w:rsidRPr="004E0F02">
        <w:rPr>
          <w:rFonts w:eastAsia="Times New Roman" w:cs="Times New Roman"/>
          <w:szCs w:val="24"/>
        </w:rPr>
        <w:lastRenderedPageBreak/>
        <w:t>określonymi</w:t>
      </w:r>
      <w:r w:rsidR="00E45B1D" w:rsidRPr="004E0F02">
        <w:rPr>
          <w:rFonts w:eastAsia="Times New Roman" w:cs="Times New Roman"/>
          <w:szCs w:val="24"/>
        </w:rPr>
        <w:t xml:space="preserve"> w </w:t>
      </w:r>
      <w:r w:rsidRPr="004E0F02">
        <w:rPr>
          <w:rFonts w:eastAsia="Times New Roman" w:cs="Times New Roman"/>
          <w:szCs w:val="24"/>
        </w:rPr>
        <w:t>projekcie ustawy (np. dot. danych podlegających publikacji</w:t>
      </w:r>
      <w:r w:rsidR="00E45B1D" w:rsidRPr="004E0F02">
        <w:rPr>
          <w:rFonts w:eastAsia="Times New Roman" w:cs="Times New Roman"/>
          <w:szCs w:val="24"/>
        </w:rPr>
        <w:t xml:space="preserve"> w </w:t>
      </w:r>
      <w:r w:rsidRPr="004E0F02">
        <w:rPr>
          <w:rFonts w:eastAsia="Times New Roman" w:cs="Times New Roman"/>
          <w:szCs w:val="24"/>
        </w:rPr>
        <w:t>BIP).</w:t>
      </w:r>
      <w:r w:rsidR="00E45B1D" w:rsidRPr="004E0F02">
        <w:rPr>
          <w:rFonts w:eastAsia="Times New Roman" w:cs="Times New Roman"/>
          <w:szCs w:val="24"/>
        </w:rPr>
        <w:t xml:space="preserve"> W </w:t>
      </w:r>
      <w:r w:rsidRPr="004E0F02">
        <w:rPr>
          <w:rFonts w:eastAsia="Times New Roman" w:cs="Times New Roman"/>
          <w:szCs w:val="24"/>
        </w:rPr>
        <w:t>celu wyeliminowania jakichkolwiek wątpliwości projekt ustawy</w:t>
      </w:r>
      <w:r w:rsidR="00E45B1D" w:rsidRPr="004E0F02">
        <w:rPr>
          <w:rFonts w:eastAsia="Times New Roman" w:cs="Times New Roman"/>
          <w:szCs w:val="24"/>
        </w:rPr>
        <w:t xml:space="preserve"> w art. 7 ust. 1 </w:t>
      </w:r>
      <w:r w:rsidRPr="004E0F02">
        <w:rPr>
          <w:rFonts w:eastAsia="Times New Roman" w:cs="Times New Roman"/>
          <w:szCs w:val="24"/>
        </w:rPr>
        <w:t>wprowadza zasadę, że ponowne wykorzystywanie nie narusza prawa dostępu do informacji publicznej ani wolności jej rozpowszechniania, ani przepisów innych ustaw określających zasady, warunki</w:t>
      </w:r>
      <w:r w:rsidR="00E45B1D" w:rsidRPr="004E0F02">
        <w:rPr>
          <w:rFonts w:eastAsia="Times New Roman" w:cs="Times New Roman"/>
          <w:szCs w:val="24"/>
        </w:rPr>
        <w:t xml:space="preserve"> i </w:t>
      </w:r>
      <w:r w:rsidRPr="004E0F02">
        <w:rPr>
          <w:rFonts w:eastAsia="Times New Roman" w:cs="Times New Roman"/>
          <w:szCs w:val="24"/>
        </w:rPr>
        <w:t xml:space="preserve">tryb dostępu lub ponownego wykorzystywania informacji będących informacjami sektora publicznego. Art. </w:t>
      </w:r>
      <w:r w:rsidR="00E45B1D" w:rsidRPr="004E0F02">
        <w:rPr>
          <w:rFonts w:eastAsia="Times New Roman" w:cs="Times New Roman"/>
          <w:szCs w:val="24"/>
        </w:rPr>
        <w:t>7 ust. 1 </w:t>
      </w:r>
      <w:r w:rsidRPr="004E0F02">
        <w:rPr>
          <w:rFonts w:eastAsia="Times New Roman" w:cs="Times New Roman"/>
          <w:szCs w:val="24"/>
        </w:rPr>
        <w:t xml:space="preserve">projektu ustawy stanowi implementację </w:t>
      </w:r>
      <w:r w:rsidR="00E45B1D" w:rsidRPr="004E0F02">
        <w:rPr>
          <w:rFonts w:eastAsia="Times New Roman" w:cs="Times New Roman"/>
          <w:szCs w:val="24"/>
        </w:rPr>
        <w:t>art. 1 ust. 3 </w:t>
      </w:r>
      <w:r w:rsidRPr="004E0F02">
        <w:rPr>
          <w:rFonts w:eastAsia="Times New Roman" w:cs="Times New Roman"/>
          <w:szCs w:val="24"/>
        </w:rPr>
        <w:t>dyrektywy 2019/1024/UE, zgodnie</w:t>
      </w:r>
      <w:r w:rsidR="00E45B1D" w:rsidRPr="004E0F02">
        <w:rPr>
          <w:rFonts w:eastAsia="Times New Roman" w:cs="Times New Roman"/>
          <w:szCs w:val="24"/>
        </w:rPr>
        <w:t xml:space="preserve"> z </w:t>
      </w:r>
      <w:r w:rsidRPr="004E0F02">
        <w:rPr>
          <w:rFonts w:eastAsia="Times New Roman" w:cs="Times New Roman"/>
          <w:szCs w:val="24"/>
        </w:rPr>
        <w:t>którym dyrektywa ta opiera się na unijnych</w:t>
      </w:r>
      <w:r w:rsidR="00E45B1D" w:rsidRPr="004E0F02">
        <w:rPr>
          <w:rFonts w:eastAsia="Times New Roman" w:cs="Times New Roman"/>
          <w:szCs w:val="24"/>
        </w:rPr>
        <w:t xml:space="preserve"> i </w:t>
      </w:r>
      <w:r w:rsidRPr="004E0F02">
        <w:rPr>
          <w:rFonts w:eastAsia="Times New Roman" w:cs="Times New Roman"/>
          <w:szCs w:val="24"/>
        </w:rPr>
        <w:t>krajowych systemach dostępu</w:t>
      </w:r>
      <w:r w:rsidR="00E45B1D" w:rsidRPr="004E0F02">
        <w:rPr>
          <w:rFonts w:eastAsia="Times New Roman" w:cs="Times New Roman"/>
          <w:szCs w:val="24"/>
        </w:rPr>
        <w:t xml:space="preserve"> i </w:t>
      </w:r>
      <w:r w:rsidRPr="004E0F02">
        <w:rPr>
          <w:rFonts w:eastAsia="Times New Roman" w:cs="Times New Roman"/>
          <w:szCs w:val="24"/>
        </w:rPr>
        <w:t>pozostaje bez uszczerbku dla nich.</w:t>
      </w:r>
    </w:p>
    <w:p w14:paraId="5B77C4A4" w14:textId="485BE15E" w:rsidR="00A42682" w:rsidRPr="004E0F02" w:rsidRDefault="00A42682" w:rsidP="00A42682">
      <w:pPr>
        <w:widowControl/>
        <w:spacing w:after="120" w:line="276" w:lineRule="auto"/>
        <w:jc w:val="both"/>
        <w:rPr>
          <w:rFonts w:eastAsia="Times New Roman" w:cs="Times New Roman"/>
          <w:szCs w:val="24"/>
        </w:rPr>
      </w:pPr>
      <w:r w:rsidRPr="004E0F02">
        <w:rPr>
          <w:rFonts w:eastAsia="Times New Roman" w:cs="Times New Roman"/>
          <w:szCs w:val="24"/>
        </w:rPr>
        <w:t>W</w:t>
      </w:r>
      <w:r w:rsidR="00E45B1D" w:rsidRPr="004E0F02">
        <w:rPr>
          <w:rFonts w:eastAsia="Times New Roman" w:cs="Times New Roman"/>
          <w:szCs w:val="24"/>
        </w:rPr>
        <w:t xml:space="preserve"> art. 7 ust. 2 </w:t>
      </w:r>
      <w:r w:rsidRPr="004E0F02">
        <w:rPr>
          <w:rFonts w:eastAsia="Times New Roman" w:cs="Times New Roman"/>
          <w:szCs w:val="24"/>
        </w:rPr>
        <w:t>projektu ustawy wprowadzono ponadto zasadę, zgodnie</w:t>
      </w:r>
      <w:r w:rsidR="00E45B1D" w:rsidRPr="004E0F02">
        <w:rPr>
          <w:rFonts w:eastAsia="Times New Roman" w:cs="Times New Roman"/>
          <w:szCs w:val="24"/>
        </w:rPr>
        <w:t xml:space="preserve"> z </w:t>
      </w:r>
      <w:r w:rsidRPr="004E0F02">
        <w:rPr>
          <w:rFonts w:eastAsia="Times New Roman" w:cs="Times New Roman"/>
          <w:szCs w:val="24"/>
        </w:rPr>
        <w:t>którą przepisy ustawy nie naruszają przepisów</w:t>
      </w:r>
      <w:r w:rsidR="00E45B1D" w:rsidRPr="004E0F02">
        <w:rPr>
          <w:rFonts w:eastAsia="Times New Roman" w:cs="Times New Roman"/>
          <w:szCs w:val="24"/>
        </w:rPr>
        <w:t xml:space="preserve"> o </w:t>
      </w:r>
      <w:r w:rsidRPr="004E0F02">
        <w:rPr>
          <w:rFonts w:eastAsia="Times New Roman" w:cs="Times New Roman"/>
          <w:szCs w:val="24"/>
        </w:rPr>
        <w:t>ochronie danych osobowych. Jednocześnie</w:t>
      </w:r>
      <w:r w:rsidR="00E45B1D" w:rsidRPr="004E0F02">
        <w:rPr>
          <w:rFonts w:eastAsia="Times New Roman" w:cs="Times New Roman"/>
          <w:szCs w:val="24"/>
        </w:rPr>
        <w:t xml:space="preserve"> w </w:t>
      </w:r>
      <w:r w:rsidR="00685C12" w:rsidRPr="004E0F02">
        <w:rPr>
          <w:rFonts w:eastAsia="Times New Roman" w:cs="Times New Roman"/>
          <w:szCs w:val="24"/>
        </w:rPr>
        <w:t xml:space="preserve">ust. 3 tego artykułu wskazany </w:t>
      </w:r>
      <w:r w:rsidRPr="004E0F02">
        <w:rPr>
          <w:rFonts w:eastAsia="Times New Roman" w:cs="Times New Roman"/>
          <w:szCs w:val="24"/>
        </w:rPr>
        <w:t xml:space="preserve">został </w:t>
      </w:r>
      <w:r w:rsidR="00685C12" w:rsidRPr="004E0F02">
        <w:rPr>
          <w:rFonts w:eastAsia="Times New Roman" w:cs="Times New Roman"/>
          <w:szCs w:val="24"/>
        </w:rPr>
        <w:t xml:space="preserve">wyjątek dotyczący </w:t>
      </w:r>
      <w:r w:rsidRPr="004E0F02">
        <w:rPr>
          <w:rFonts w:eastAsia="Times New Roman" w:cs="Times New Roman"/>
          <w:szCs w:val="24"/>
        </w:rPr>
        <w:t>stosowania przepisów rozporządzenia Parlamentu Europejskiego</w:t>
      </w:r>
      <w:r w:rsidR="00E45B1D" w:rsidRPr="004E0F02">
        <w:rPr>
          <w:rFonts w:eastAsia="Times New Roman" w:cs="Times New Roman"/>
          <w:szCs w:val="24"/>
        </w:rPr>
        <w:t xml:space="preserve"> i </w:t>
      </w:r>
      <w:r w:rsidRPr="004E0F02">
        <w:rPr>
          <w:rFonts w:eastAsia="Times New Roman" w:cs="Times New Roman"/>
          <w:szCs w:val="24"/>
        </w:rPr>
        <w:t>Rady (UE) 2016/67</w:t>
      </w:r>
      <w:r w:rsidR="00E45B1D" w:rsidRPr="004E0F02">
        <w:rPr>
          <w:rFonts w:eastAsia="Times New Roman" w:cs="Times New Roman"/>
          <w:szCs w:val="24"/>
        </w:rPr>
        <w:t>9 z </w:t>
      </w:r>
      <w:r w:rsidRPr="004E0F02">
        <w:rPr>
          <w:rFonts w:eastAsia="Times New Roman" w:cs="Times New Roman"/>
          <w:szCs w:val="24"/>
        </w:rPr>
        <w:t>dnia 2</w:t>
      </w:r>
      <w:r w:rsidR="00E45B1D" w:rsidRPr="004E0F02">
        <w:rPr>
          <w:rFonts w:eastAsia="Times New Roman" w:cs="Times New Roman"/>
          <w:szCs w:val="24"/>
        </w:rPr>
        <w:t>7 </w:t>
      </w:r>
      <w:r w:rsidRPr="004E0F02">
        <w:rPr>
          <w:rFonts w:eastAsia="Times New Roman" w:cs="Times New Roman"/>
          <w:szCs w:val="24"/>
        </w:rPr>
        <w:t>kwietnia 201</w:t>
      </w:r>
      <w:r w:rsidR="00E45B1D" w:rsidRPr="004E0F02">
        <w:rPr>
          <w:rFonts w:eastAsia="Times New Roman" w:cs="Times New Roman"/>
          <w:szCs w:val="24"/>
        </w:rPr>
        <w:t>6 </w:t>
      </w:r>
      <w:r w:rsidRPr="004E0F02">
        <w:rPr>
          <w:rFonts w:eastAsia="Times New Roman" w:cs="Times New Roman"/>
          <w:szCs w:val="24"/>
        </w:rPr>
        <w:t>r.</w:t>
      </w:r>
      <w:r w:rsidR="00E45B1D" w:rsidRPr="004E0F02">
        <w:rPr>
          <w:rFonts w:eastAsia="Times New Roman" w:cs="Times New Roman"/>
          <w:szCs w:val="24"/>
        </w:rPr>
        <w:t xml:space="preserve"> w </w:t>
      </w:r>
      <w:r w:rsidRPr="004E0F02">
        <w:rPr>
          <w:rFonts w:eastAsia="Times New Roman" w:cs="Times New Roman"/>
          <w:szCs w:val="24"/>
        </w:rPr>
        <w:t>sprawie ochrony osób fizycznych</w:t>
      </w:r>
      <w:r w:rsidR="00E45B1D" w:rsidRPr="004E0F02">
        <w:rPr>
          <w:rFonts w:eastAsia="Times New Roman" w:cs="Times New Roman"/>
          <w:szCs w:val="24"/>
        </w:rPr>
        <w:t xml:space="preserve"> w </w:t>
      </w:r>
      <w:r w:rsidRPr="004E0F02">
        <w:rPr>
          <w:rFonts w:eastAsia="Times New Roman" w:cs="Times New Roman"/>
          <w:szCs w:val="24"/>
        </w:rPr>
        <w:t>związku z przetwarzaniem danych osobowych</w:t>
      </w:r>
      <w:r w:rsidR="00E45B1D" w:rsidRPr="004E0F02">
        <w:rPr>
          <w:rFonts w:eastAsia="Times New Roman" w:cs="Times New Roman"/>
          <w:szCs w:val="24"/>
        </w:rPr>
        <w:t xml:space="preserve"> i w </w:t>
      </w:r>
      <w:r w:rsidRPr="004E0F02">
        <w:rPr>
          <w:rFonts w:eastAsia="Times New Roman" w:cs="Times New Roman"/>
          <w:szCs w:val="24"/>
        </w:rPr>
        <w:t>sprawie swobodnego przepływu takich danych oraz uchylenia dyrektywy 95/46/WE (ogólne rozporządzenie o</w:t>
      </w:r>
      <w:r w:rsidR="006674B4" w:rsidRPr="004E0F02">
        <w:rPr>
          <w:rFonts w:eastAsia="Times New Roman" w:cs="Times New Roman"/>
          <w:szCs w:val="24"/>
        </w:rPr>
        <w:t> </w:t>
      </w:r>
      <w:r w:rsidRPr="004E0F02">
        <w:rPr>
          <w:rFonts w:eastAsia="Times New Roman" w:cs="Times New Roman"/>
          <w:szCs w:val="24"/>
        </w:rPr>
        <w:t>ochronie danych)</w:t>
      </w:r>
      <w:r w:rsidRPr="004E0F02">
        <w:rPr>
          <w:rFonts w:eastAsia="Times New Roman" w:cs="Times New Roman"/>
          <w:szCs w:val="24"/>
          <w:vertAlign w:val="superscript"/>
        </w:rPr>
        <w:footnoteReference w:id="33"/>
      </w:r>
      <w:r w:rsidRPr="004E0F02">
        <w:rPr>
          <w:rFonts w:eastAsia="Times New Roman" w:cs="Times New Roman"/>
          <w:szCs w:val="24"/>
        </w:rPr>
        <w:t>. dotyczą</w:t>
      </w:r>
      <w:r w:rsidR="00685C12" w:rsidRPr="004E0F02">
        <w:rPr>
          <w:rFonts w:eastAsia="Times New Roman" w:cs="Times New Roman"/>
          <w:szCs w:val="24"/>
        </w:rPr>
        <w:t>cy</w:t>
      </w:r>
      <w:r w:rsidR="00E45B1D" w:rsidRPr="004E0F02">
        <w:rPr>
          <w:rFonts w:eastAsia="Times New Roman" w:cs="Times New Roman"/>
          <w:szCs w:val="24"/>
        </w:rPr>
        <w:t xml:space="preserve"> art. </w:t>
      </w:r>
      <w:r w:rsidRPr="004E0F02">
        <w:rPr>
          <w:rFonts w:eastAsia="Times New Roman" w:cs="Times New Roman"/>
          <w:szCs w:val="24"/>
        </w:rPr>
        <w:t>1</w:t>
      </w:r>
      <w:r w:rsidR="00E45B1D" w:rsidRPr="004E0F02">
        <w:rPr>
          <w:rFonts w:eastAsia="Times New Roman" w:cs="Times New Roman"/>
          <w:szCs w:val="24"/>
        </w:rPr>
        <w:t>3 ust. </w:t>
      </w:r>
      <w:r w:rsidRPr="004E0F02">
        <w:rPr>
          <w:rFonts w:eastAsia="Times New Roman" w:cs="Times New Roman"/>
          <w:szCs w:val="24"/>
        </w:rPr>
        <w:t>3</w:t>
      </w:r>
      <w:r w:rsidR="00E45B1D" w:rsidRPr="004E0F02">
        <w:rPr>
          <w:rFonts w:eastAsia="Times New Roman" w:cs="Times New Roman"/>
          <w:szCs w:val="24"/>
        </w:rPr>
        <w:t> </w:t>
      </w:r>
      <w:r w:rsidRPr="004E0F02">
        <w:rPr>
          <w:rFonts w:eastAsia="Times New Roman" w:cs="Times New Roman"/>
          <w:szCs w:val="24"/>
        </w:rPr>
        <w:t>RODO.</w:t>
      </w:r>
    </w:p>
    <w:p w14:paraId="1CBFA1F2" w14:textId="1775AF6F" w:rsidR="00A42682" w:rsidRPr="004E0F02" w:rsidRDefault="00A42682" w:rsidP="00A42682">
      <w:pPr>
        <w:widowControl/>
        <w:spacing w:after="120" w:line="276" w:lineRule="auto"/>
        <w:jc w:val="both"/>
        <w:rPr>
          <w:rFonts w:eastAsia="Calibri" w:cs="Times New Roman"/>
          <w:b/>
          <w:szCs w:val="24"/>
          <w:lang w:eastAsia="en-US"/>
        </w:rPr>
      </w:pPr>
      <w:r w:rsidRPr="004E0F02">
        <w:rPr>
          <w:rFonts w:eastAsia="Calibri" w:cs="Times New Roman"/>
          <w:b/>
          <w:szCs w:val="24"/>
          <w:lang w:eastAsia="en-US"/>
        </w:rPr>
        <w:t>Rozdział 2. Zasady udostępniania</w:t>
      </w:r>
      <w:r w:rsidR="00E45B1D" w:rsidRPr="004E0F02">
        <w:rPr>
          <w:rFonts w:eastAsia="Calibri" w:cs="Times New Roman"/>
          <w:b/>
          <w:szCs w:val="24"/>
          <w:lang w:eastAsia="en-US"/>
        </w:rPr>
        <w:t xml:space="preserve"> i </w:t>
      </w:r>
      <w:r w:rsidRPr="004E0F02">
        <w:rPr>
          <w:rFonts w:eastAsia="Calibri" w:cs="Times New Roman"/>
          <w:b/>
          <w:szCs w:val="24"/>
          <w:lang w:eastAsia="en-US"/>
        </w:rPr>
        <w:t>przekazywania informacji sektora publicznego</w:t>
      </w:r>
      <w:r w:rsidR="00E45B1D" w:rsidRPr="004E0F02">
        <w:rPr>
          <w:rFonts w:eastAsia="Calibri" w:cs="Times New Roman"/>
          <w:b/>
          <w:szCs w:val="24"/>
          <w:lang w:eastAsia="en-US"/>
        </w:rPr>
        <w:t xml:space="preserve"> w </w:t>
      </w:r>
      <w:r w:rsidRPr="004E0F02">
        <w:rPr>
          <w:rFonts w:eastAsia="Calibri" w:cs="Times New Roman"/>
          <w:b/>
          <w:szCs w:val="24"/>
          <w:lang w:eastAsia="en-US"/>
        </w:rPr>
        <w:t>celu ponownego wykorzystywania.</w:t>
      </w:r>
    </w:p>
    <w:p w14:paraId="7EB476A2" w14:textId="6FACE3D5"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w:t>
      </w:r>
      <w:r w:rsidR="00E45B1D" w:rsidRPr="004E0F02">
        <w:rPr>
          <w:rFonts w:eastAsia="Calibri" w:cs="Times New Roman"/>
          <w:szCs w:val="24"/>
          <w:lang w:eastAsia="en-US"/>
        </w:rPr>
        <w:t xml:space="preserve"> z </w:t>
      </w:r>
      <w:r w:rsidRPr="004E0F02">
        <w:rPr>
          <w:rFonts w:eastAsia="Calibri" w:cs="Times New Roman"/>
          <w:szCs w:val="24"/>
          <w:lang w:eastAsia="en-US"/>
        </w:rPr>
        <w:t>zasadą niedyskryminacji wyrażoną</w:t>
      </w:r>
      <w:r w:rsidR="00E45B1D" w:rsidRPr="004E0F02">
        <w:rPr>
          <w:rFonts w:eastAsia="Calibri" w:cs="Times New Roman"/>
          <w:szCs w:val="24"/>
          <w:lang w:eastAsia="en-US"/>
        </w:rPr>
        <w:t xml:space="preserve"> w art. 8 </w:t>
      </w:r>
      <w:r w:rsidRPr="004E0F02">
        <w:rPr>
          <w:rFonts w:eastAsia="Calibri" w:cs="Times New Roman"/>
          <w:szCs w:val="24"/>
          <w:lang w:eastAsia="en-US"/>
        </w:rPr>
        <w:t>projektu ustawy udostępni</w:t>
      </w:r>
      <w:r w:rsidR="006674B4" w:rsidRPr="004E0F02">
        <w:rPr>
          <w:rFonts w:eastAsia="Calibri" w:cs="Times New Roman"/>
          <w:szCs w:val="24"/>
          <w:lang w:eastAsia="en-US"/>
        </w:rPr>
        <w:t>a</w:t>
      </w:r>
      <w:r w:rsidRPr="004E0F02">
        <w:rPr>
          <w:rFonts w:eastAsia="Calibri" w:cs="Times New Roman"/>
          <w:szCs w:val="24"/>
          <w:lang w:eastAsia="en-US"/>
        </w:rPr>
        <w:t>nie lub przekazywanie informacji sektora publicznego nie powinno odbywać się na warunkach, które wyeliminowałyby lub ograniczałyby konkurencję. Do takiego niekorzystnego zjawiska mogłoby dojść</w:t>
      </w:r>
      <w:r w:rsidR="00E45B1D" w:rsidRPr="004E0F02">
        <w:rPr>
          <w:rFonts w:eastAsia="Calibri" w:cs="Times New Roman"/>
          <w:szCs w:val="24"/>
          <w:lang w:eastAsia="en-US"/>
        </w:rPr>
        <w:t xml:space="preserve"> w </w:t>
      </w:r>
      <w:r w:rsidRPr="004E0F02">
        <w:rPr>
          <w:rFonts w:eastAsia="Calibri" w:cs="Times New Roman"/>
          <w:szCs w:val="24"/>
          <w:lang w:eastAsia="en-US"/>
        </w:rPr>
        <w:t>przypadku oferowania przez podmiot zobowiązany zróżnicowanych warunków dla podobnych (porównywalnych) sytuacji wykorzystywania informacji. Przepis</w:t>
      </w:r>
      <w:r w:rsidR="00E45B1D" w:rsidRPr="004E0F02">
        <w:rPr>
          <w:rFonts w:eastAsia="Calibri" w:cs="Times New Roman"/>
          <w:szCs w:val="24"/>
          <w:lang w:eastAsia="en-US"/>
        </w:rPr>
        <w:t xml:space="preserve"> art. 8 </w:t>
      </w:r>
      <w:r w:rsidRPr="004E0F02">
        <w:rPr>
          <w:rFonts w:eastAsia="Calibri" w:cs="Times New Roman"/>
          <w:szCs w:val="24"/>
          <w:lang w:eastAsia="en-US"/>
        </w:rPr>
        <w:t>projektu ustawy formułuje obowiązek stosowania</w:t>
      </w:r>
      <w:r w:rsidR="00E45B1D" w:rsidRPr="004E0F02">
        <w:rPr>
          <w:rFonts w:eastAsia="Calibri" w:cs="Times New Roman"/>
          <w:szCs w:val="24"/>
          <w:lang w:eastAsia="en-US"/>
        </w:rPr>
        <w:t xml:space="preserve"> w </w:t>
      </w:r>
      <w:r w:rsidRPr="004E0F02">
        <w:rPr>
          <w:rFonts w:eastAsia="Calibri" w:cs="Times New Roman"/>
          <w:szCs w:val="24"/>
          <w:lang w:eastAsia="en-US"/>
        </w:rPr>
        <w:t>umowach</w:t>
      </w:r>
      <w:r w:rsidR="00E45B1D" w:rsidRPr="004E0F02">
        <w:rPr>
          <w:rFonts w:eastAsia="Calibri" w:cs="Times New Roman"/>
          <w:szCs w:val="24"/>
          <w:lang w:eastAsia="en-US"/>
        </w:rPr>
        <w:t xml:space="preserve"> z </w:t>
      </w:r>
      <w:r w:rsidRPr="004E0F02">
        <w:rPr>
          <w:rFonts w:eastAsia="Calibri" w:cs="Times New Roman"/>
          <w:szCs w:val="24"/>
          <w:lang w:eastAsia="en-US"/>
        </w:rPr>
        <w:t>osobami zainteresowanymi jednolitych warunków udostępniania lub przekazywania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celu ponownego wykorzystywania, także wówczas gdy użytkownikiem jest podmiot wykonujący zadania publiczne, ale</w:t>
      </w:r>
      <w:r w:rsidR="00E45B1D" w:rsidRPr="004E0F02">
        <w:rPr>
          <w:rFonts w:eastAsia="Calibri" w:cs="Times New Roman"/>
          <w:szCs w:val="24"/>
          <w:lang w:eastAsia="en-US"/>
        </w:rPr>
        <w:t xml:space="preserve"> w </w:t>
      </w:r>
      <w:r w:rsidRPr="004E0F02">
        <w:rPr>
          <w:rFonts w:eastAsia="Calibri" w:cs="Times New Roman"/>
          <w:szCs w:val="24"/>
          <w:lang w:eastAsia="en-US"/>
        </w:rPr>
        <w:t>ramach działalności wykraczającej poza realizację takich zadań.</w:t>
      </w:r>
    </w:p>
    <w:p w14:paraId="6C382E1E" w14:textId="34CD23B7"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Projekt ustawy formułuje</w:t>
      </w:r>
      <w:r w:rsidR="00E45B1D" w:rsidRPr="004E0F02">
        <w:rPr>
          <w:rFonts w:eastAsia="Calibri" w:cs="Times New Roman"/>
          <w:szCs w:val="24"/>
          <w:lang w:eastAsia="en-US"/>
        </w:rPr>
        <w:t xml:space="preserve"> w art. 9 ust. 1 </w:t>
      </w:r>
      <w:r w:rsidRPr="004E0F02">
        <w:rPr>
          <w:rFonts w:eastAsia="Calibri" w:cs="Times New Roman"/>
          <w:szCs w:val="24"/>
          <w:lang w:eastAsia="en-US"/>
        </w:rPr>
        <w:t xml:space="preserve">generalny zakaz zawierania umów na wyłączność, zgodnie z którym warunki ponownego wykorzystywania informacji sektora publicznego nie mogą </w:t>
      </w:r>
      <w:r w:rsidR="00685C12" w:rsidRPr="004E0F02">
        <w:rPr>
          <w:rFonts w:eastAsia="Calibri" w:cs="Times New Roman"/>
          <w:szCs w:val="24"/>
          <w:lang w:eastAsia="en-US"/>
        </w:rPr>
        <w:t xml:space="preserve">ograniczać </w:t>
      </w:r>
      <w:r w:rsidRPr="004E0F02">
        <w:rPr>
          <w:rFonts w:eastAsia="Calibri" w:cs="Times New Roman"/>
          <w:szCs w:val="24"/>
          <w:lang w:eastAsia="en-US"/>
        </w:rPr>
        <w:t>korzystania</w:t>
      </w:r>
      <w:r w:rsidR="00E45B1D" w:rsidRPr="004E0F02">
        <w:rPr>
          <w:rFonts w:eastAsia="Calibri" w:cs="Times New Roman"/>
          <w:szCs w:val="24"/>
          <w:lang w:eastAsia="en-US"/>
        </w:rPr>
        <w:t xml:space="preserve"> z </w:t>
      </w:r>
      <w:r w:rsidRPr="004E0F02">
        <w:rPr>
          <w:rFonts w:eastAsia="Calibri" w:cs="Times New Roman"/>
          <w:szCs w:val="24"/>
          <w:lang w:eastAsia="en-US"/>
        </w:rPr>
        <w:t>tej informacji przez innych użytkowników. Zawarcie umowy wyłącznej jest dopuszczalne jedynie wyjątkowo,</w:t>
      </w:r>
      <w:r w:rsidR="00E45B1D" w:rsidRPr="004E0F02">
        <w:rPr>
          <w:rFonts w:eastAsia="Calibri" w:cs="Times New Roman"/>
          <w:szCs w:val="24"/>
          <w:lang w:eastAsia="en-US"/>
        </w:rPr>
        <w:t xml:space="preserve"> w </w:t>
      </w:r>
      <w:r w:rsidRPr="004E0F02">
        <w:rPr>
          <w:rFonts w:eastAsia="Calibri" w:cs="Times New Roman"/>
          <w:szCs w:val="24"/>
          <w:lang w:eastAsia="en-US"/>
        </w:rPr>
        <w:t>sytuacji gdy jest to</w:t>
      </w:r>
      <w:r w:rsidR="006674B4" w:rsidRPr="004E0F02">
        <w:rPr>
          <w:rFonts w:eastAsia="Calibri" w:cs="Times New Roman"/>
          <w:szCs w:val="24"/>
          <w:lang w:eastAsia="en-US"/>
        </w:rPr>
        <w:t> </w:t>
      </w:r>
      <w:r w:rsidRPr="004E0F02">
        <w:rPr>
          <w:rFonts w:eastAsia="Calibri" w:cs="Times New Roman"/>
          <w:szCs w:val="24"/>
          <w:lang w:eastAsia="en-US"/>
        </w:rPr>
        <w:t xml:space="preserve">niezbędne do prawidłowego wykonywania zadań publicznych (art. </w:t>
      </w:r>
      <w:r w:rsidR="00E45B1D" w:rsidRPr="004E0F02">
        <w:rPr>
          <w:rFonts w:eastAsia="Calibri" w:cs="Times New Roman"/>
          <w:szCs w:val="24"/>
          <w:lang w:eastAsia="en-US"/>
        </w:rPr>
        <w:t>9 ust. 2 </w:t>
      </w:r>
      <w:r w:rsidRPr="004E0F02">
        <w:rPr>
          <w:rFonts w:eastAsia="Calibri" w:cs="Times New Roman"/>
          <w:szCs w:val="24"/>
          <w:lang w:eastAsia="en-US"/>
        </w:rPr>
        <w:t>projektu ustawy), przy tym proponuje się szerokie obowiązki informacyjne.</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tym przypadku </w:t>
      </w:r>
      <w:r w:rsidR="00685C12" w:rsidRPr="004E0F02">
        <w:rPr>
          <w:rFonts w:eastAsia="Calibri" w:cs="Times New Roman"/>
          <w:szCs w:val="24"/>
          <w:lang w:eastAsia="en-US"/>
        </w:rPr>
        <w:t>umowy</w:t>
      </w:r>
      <w:r w:rsidRPr="004E0F02">
        <w:rPr>
          <w:rFonts w:eastAsia="Calibri" w:cs="Times New Roman"/>
          <w:szCs w:val="24"/>
          <w:lang w:eastAsia="en-US"/>
        </w:rPr>
        <w:t xml:space="preserve">, </w:t>
      </w:r>
      <w:r w:rsidR="00685C12" w:rsidRPr="004E0F02">
        <w:rPr>
          <w:rFonts w:eastAsia="Calibri" w:cs="Times New Roman"/>
          <w:szCs w:val="24"/>
          <w:lang w:eastAsia="en-US"/>
        </w:rPr>
        <w:t xml:space="preserve">które </w:t>
      </w:r>
      <w:r w:rsidRPr="004E0F02">
        <w:rPr>
          <w:rFonts w:eastAsia="Calibri" w:cs="Times New Roman"/>
          <w:szCs w:val="24"/>
          <w:lang w:eastAsia="en-US"/>
        </w:rPr>
        <w:t>udziela</w:t>
      </w:r>
      <w:r w:rsidR="00685C12" w:rsidRPr="004E0F02">
        <w:rPr>
          <w:rFonts w:eastAsia="Calibri" w:cs="Times New Roman"/>
          <w:szCs w:val="24"/>
          <w:lang w:eastAsia="en-US"/>
        </w:rPr>
        <w:t>ją</w:t>
      </w:r>
      <w:r w:rsidRPr="004E0F02">
        <w:rPr>
          <w:rFonts w:eastAsia="Calibri" w:cs="Times New Roman"/>
          <w:szCs w:val="24"/>
          <w:lang w:eastAsia="en-US"/>
        </w:rPr>
        <w:t xml:space="preserve"> wyłącznego prawa do korzystania z informacji,</w:t>
      </w:r>
      <w:r w:rsidR="00E45B1D" w:rsidRPr="004E0F02">
        <w:rPr>
          <w:rFonts w:eastAsia="Calibri" w:cs="Times New Roman"/>
          <w:szCs w:val="24"/>
          <w:lang w:eastAsia="en-US"/>
        </w:rPr>
        <w:t xml:space="preserve"> a </w:t>
      </w:r>
      <w:r w:rsidRPr="004E0F02">
        <w:rPr>
          <w:rFonts w:eastAsia="Calibri" w:cs="Times New Roman"/>
          <w:szCs w:val="24"/>
          <w:lang w:eastAsia="en-US"/>
        </w:rPr>
        <w:t xml:space="preserve">także powody </w:t>
      </w:r>
      <w:r w:rsidR="00685C12" w:rsidRPr="004E0F02">
        <w:rPr>
          <w:rFonts w:eastAsia="Calibri" w:cs="Times New Roman"/>
          <w:szCs w:val="24"/>
          <w:lang w:eastAsia="en-US"/>
        </w:rPr>
        <w:t xml:space="preserve">ich </w:t>
      </w:r>
      <w:r w:rsidRPr="004E0F02">
        <w:rPr>
          <w:rFonts w:eastAsia="Calibri" w:cs="Times New Roman"/>
          <w:szCs w:val="24"/>
          <w:lang w:eastAsia="en-US"/>
        </w:rPr>
        <w:t>zawarcia dla wykonywania zadania publicznego, są ogłaszane na stronie podmiotowej BIP podmiotu wprowadzającego wyłączność (art. 1</w:t>
      </w:r>
      <w:r w:rsidR="00E45B1D" w:rsidRPr="004E0F02">
        <w:rPr>
          <w:rFonts w:eastAsia="Calibri" w:cs="Times New Roman"/>
          <w:szCs w:val="24"/>
          <w:lang w:eastAsia="en-US"/>
        </w:rPr>
        <w:t>1 ust. 1 pkt 4 </w:t>
      </w:r>
      <w:r w:rsidRPr="004E0F02">
        <w:rPr>
          <w:rFonts w:eastAsia="Calibri" w:cs="Times New Roman"/>
          <w:szCs w:val="24"/>
          <w:lang w:eastAsia="en-US"/>
        </w:rPr>
        <w:t>projektu ustawy). Umowa taka podlega zgodnie</w:t>
      </w:r>
      <w:r w:rsidR="00E45B1D" w:rsidRPr="004E0F02">
        <w:rPr>
          <w:rFonts w:eastAsia="Calibri" w:cs="Times New Roman"/>
          <w:szCs w:val="24"/>
          <w:lang w:eastAsia="en-US"/>
        </w:rPr>
        <w:t xml:space="preserve"> z art. 9 ust. 3 </w:t>
      </w:r>
      <w:r w:rsidRPr="004E0F02">
        <w:rPr>
          <w:rFonts w:eastAsia="Calibri" w:cs="Times New Roman"/>
          <w:szCs w:val="24"/>
          <w:lang w:eastAsia="en-US"/>
        </w:rPr>
        <w:t xml:space="preserve">projektu ustawy ocenie </w:t>
      </w:r>
      <w:r w:rsidR="00685C12" w:rsidRPr="004E0F02">
        <w:rPr>
          <w:rFonts w:eastAsia="Calibri" w:cs="Times New Roman"/>
          <w:szCs w:val="24"/>
          <w:lang w:eastAsia="en-US"/>
        </w:rPr>
        <w:t xml:space="preserve">co najmniej raz w </w:t>
      </w:r>
      <w:r w:rsidRPr="004E0F02">
        <w:rPr>
          <w:rFonts w:eastAsia="Calibri" w:cs="Times New Roman"/>
          <w:szCs w:val="24"/>
          <w:lang w:eastAsia="en-US"/>
        </w:rPr>
        <w:t>roku. Jeśli w wyniku oceny podmiot stwierdzi jej bezzasadność, umowa jest niezwłocznie rozwiązywana. Wyniki przeglądu również są ogłaszane na stronie podmiotowej BIP podmiotu zobowiązanego.</w:t>
      </w:r>
    </w:p>
    <w:p w14:paraId="424E2C1C" w14:textId="1851D6EC"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lastRenderedPageBreak/>
        <w:t>W przypadku warunkowego udostępnienia lub przekazania informacji sektora publicznego do</w:t>
      </w:r>
      <w:r w:rsidR="002B2249" w:rsidRPr="004E0F02">
        <w:rPr>
          <w:rFonts w:eastAsia="Calibri" w:cs="Times New Roman"/>
          <w:szCs w:val="24"/>
          <w:lang w:eastAsia="en-US"/>
        </w:rPr>
        <w:t> </w:t>
      </w:r>
      <w:r w:rsidRPr="004E0F02">
        <w:rPr>
          <w:rFonts w:eastAsia="Calibri" w:cs="Times New Roman"/>
          <w:szCs w:val="24"/>
          <w:lang w:eastAsia="en-US"/>
        </w:rPr>
        <w:t>ponownego wykorzystywania, podmioty zobowiązane będą miały obowiązek publicznego ogłoszenia tych warunków (art. 1</w:t>
      </w:r>
      <w:r w:rsidR="00E45B1D" w:rsidRPr="004E0F02">
        <w:rPr>
          <w:rFonts w:eastAsia="Calibri" w:cs="Times New Roman"/>
          <w:szCs w:val="24"/>
          <w:lang w:eastAsia="en-US"/>
        </w:rPr>
        <w:t>1 ust. 1 pkt 1 </w:t>
      </w:r>
      <w:r w:rsidRPr="004E0F02">
        <w:rPr>
          <w:rFonts w:eastAsia="Calibri" w:cs="Times New Roman"/>
          <w:szCs w:val="24"/>
          <w:lang w:eastAsia="en-US"/>
        </w:rPr>
        <w:t>projektu ustawy). Dzięki temu potencjalni użytkownicy mogą dokonać sprawdzenia warunków jeszcze przed podjęciem pozytywnej decyzji</w:t>
      </w:r>
      <w:r w:rsidR="00E45B1D" w:rsidRPr="004E0F02">
        <w:rPr>
          <w:rFonts w:eastAsia="Calibri" w:cs="Times New Roman"/>
          <w:szCs w:val="24"/>
          <w:lang w:eastAsia="en-US"/>
        </w:rPr>
        <w:t xml:space="preserve"> w </w:t>
      </w:r>
      <w:r w:rsidRPr="004E0F02">
        <w:rPr>
          <w:rFonts w:eastAsia="Calibri" w:cs="Times New Roman"/>
          <w:szCs w:val="24"/>
          <w:lang w:eastAsia="en-US"/>
        </w:rPr>
        <w:t>przedmiocie ponownego wykorzystywania. Zasada przejrzystości wymaga podania nie tylko informacji o warunkach ponownego wykorzystywania, ale także informacji o</w:t>
      </w:r>
      <w:r w:rsidR="00DC4CE7" w:rsidRPr="004E0F02">
        <w:rPr>
          <w:rFonts w:eastAsia="Calibri" w:cs="Times New Roman"/>
          <w:szCs w:val="24"/>
          <w:lang w:eastAsia="en-US"/>
        </w:rPr>
        <w:t> </w:t>
      </w:r>
      <w:r w:rsidRPr="004E0F02">
        <w:rPr>
          <w:rFonts w:eastAsia="Calibri" w:cs="Times New Roman"/>
          <w:szCs w:val="24"/>
          <w:lang w:eastAsia="en-US"/>
        </w:rPr>
        <w:t>środkach przysługujących osobom zainteresowanym</w:t>
      </w:r>
      <w:r w:rsidR="00E45B1D" w:rsidRPr="004E0F02">
        <w:rPr>
          <w:rFonts w:eastAsia="Calibri" w:cs="Times New Roman"/>
          <w:szCs w:val="24"/>
          <w:lang w:eastAsia="en-US"/>
        </w:rPr>
        <w:t xml:space="preserve"> w </w:t>
      </w:r>
      <w:r w:rsidRPr="004E0F02">
        <w:rPr>
          <w:rFonts w:eastAsia="Calibri" w:cs="Times New Roman"/>
          <w:szCs w:val="24"/>
          <w:lang w:eastAsia="en-US"/>
        </w:rPr>
        <w:t>przypadku odmowy udostępnienia lub przekazania informacji sektora publicznego na cele ponownego wykorzystywania albo kwestionowania przez nie zaproponowanych warunków (art. 1</w:t>
      </w:r>
      <w:r w:rsidR="00E45B1D" w:rsidRPr="004E0F02">
        <w:rPr>
          <w:rFonts w:eastAsia="Calibri" w:cs="Times New Roman"/>
          <w:szCs w:val="24"/>
          <w:lang w:eastAsia="en-US"/>
        </w:rPr>
        <w:t>1 ust. 1 pkt 3 </w:t>
      </w:r>
      <w:r w:rsidRPr="004E0F02">
        <w:rPr>
          <w:rFonts w:eastAsia="Calibri" w:cs="Times New Roman"/>
          <w:szCs w:val="24"/>
          <w:lang w:eastAsia="en-US"/>
        </w:rPr>
        <w:t>projektu). Istotne znaczenie ma także obowiązek podania informacji o dostępności danej informacji sektora publicznego na cele ponownego wykorzystywania (art. 1</w:t>
      </w:r>
      <w:r w:rsidR="00E45B1D" w:rsidRPr="004E0F02">
        <w:rPr>
          <w:rFonts w:eastAsia="Calibri" w:cs="Times New Roman"/>
          <w:szCs w:val="24"/>
          <w:lang w:eastAsia="en-US"/>
        </w:rPr>
        <w:t>1 ust. 4 </w:t>
      </w:r>
      <w:r w:rsidRPr="004E0F02">
        <w:rPr>
          <w:rFonts w:eastAsia="Calibri" w:cs="Times New Roman"/>
          <w:szCs w:val="24"/>
          <w:lang w:eastAsia="en-US"/>
        </w:rPr>
        <w:t>projektu).</w:t>
      </w:r>
    </w:p>
    <w:p w14:paraId="4BFF07B6" w14:textId="1F918425"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w:t>
      </w:r>
      <w:r w:rsidR="00E45B1D" w:rsidRPr="004E0F02">
        <w:rPr>
          <w:rFonts w:eastAsia="Calibri" w:cs="Times New Roman"/>
          <w:szCs w:val="24"/>
          <w:lang w:eastAsia="en-US"/>
        </w:rPr>
        <w:t xml:space="preserve"> z </w:t>
      </w:r>
      <w:r w:rsidRPr="004E0F02">
        <w:rPr>
          <w:rFonts w:eastAsia="Calibri" w:cs="Times New Roman"/>
          <w:szCs w:val="24"/>
          <w:lang w:eastAsia="en-US"/>
        </w:rPr>
        <w:t>zasadą przejrzystości sformułowaną</w:t>
      </w:r>
      <w:r w:rsidR="00E45B1D" w:rsidRPr="004E0F02">
        <w:rPr>
          <w:rFonts w:eastAsia="Calibri" w:cs="Times New Roman"/>
          <w:szCs w:val="24"/>
          <w:lang w:eastAsia="en-US"/>
        </w:rPr>
        <w:t xml:space="preserve"> w art. 7 ust. 1 </w:t>
      </w:r>
      <w:r w:rsidRPr="004E0F02">
        <w:rPr>
          <w:rFonts w:eastAsia="Calibri" w:cs="Times New Roman"/>
          <w:szCs w:val="24"/>
          <w:lang w:eastAsia="en-US"/>
        </w:rPr>
        <w:t>dyrektywy 2019/1024/UE w</w:t>
      </w:r>
      <w:r w:rsidR="00DC4CE7" w:rsidRPr="004E0F02">
        <w:rPr>
          <w:rFonts w:eastAsia="Calibri" w:cs="Times New Roman"/>
          <w:szCs w:val="24"/>
          <w:lang w:eastAsia="en-US"/>
        </w:rPr>
        <w:t> </w:t>
      </w:r>
      <w:r w:rsidRPr="004E0F02">
        <w:rPr>
          <w:rFonts w:eastAsia="Calibri" w:cs="Times New Roman"/>
          <w:szCs w:val="24"/>
          <w:lang w:eastAsia="en-US"/>
        </w:rPr>
        <w:t>przypadku standardowych opłat za ponowne wykorzystywanie dokumentów mające zastosowanie warunki i faktyczne kwoty opłat,</w:t>
      </w:r>
      <w:r w:rsidR="00E45B1D" w:rsidRPr="004E0F02">
        <w:rPr>
          <w:rFonts w:eastAsia="Calibri" w:cs="Times New Roman"/>
          <w:szCs w:val="24"/>
          <w:lang w:eastAsia="en-US"/>
        </w:rPr>
        <w:t xml:space="preserve"> w </w:t>
      </w:r>
      <w:r w:rsidRPr="004E0F02">
        <w:rPr>
          <w:rFonts w:eastAsia="Calibri" w:cs="Times New Roman"/>
          <w:szCs w:val="24"/>
          <w:lang w:eastAsia="en-US"/>
        </w:rPr>
        <w:t>tym podstawa ich obliczania, są określane z</w:t>
      </w:r>
      <w:r w:rsidR="003669A7" w:rsidRPr="004E0F02">
        <w:rPr>
          <w:rFonts w:eastAsia="Calibri" w:cs="Times New Roman"/>
          <w:szCs w:val="24"/>
          <w:lang w:eastAsia="en-US"/>
        </w:rPr>
        <w:t> </w:t>
      </w:r>
      <w:r w:rsidRPr="004E0F02">
        <w:rPr>
          <w:rFonts w:eastAsia="Calibri" w:cs="Times New Roman"/>
          <w:szCs w:val="24"/>
          <w:lang w:eastAsia="en-US"/>
        </w:rPr>
        <w:t>wyprzedzeniem</w:t>
      </w:r>
      <w:r w:rsidR="00E45B1D" w:rsidRPr="004E0F02">
        <w:rPr>
          <w:rFonts w:eastAsia="Calibri" w:cs="Times New Roman"/>
          <w:szCs w:val="24"/>
          <w:lang w:eastAsia="en-US"/>
        </w:rPr>
        <w:t xml:space="preserve"> i </w:t>
      </w:r>
      <w:r w:rsidRPr="004E0F02">
        <w:rPr>
          <w:rFonts w:eastAsia="Calibri" w:cs="Times New Roman"/>
          <w:szCs w:val="24"/>
          <w:lang w:eastAsia="en-US"/>
        </w:rPr>
        <w:t>publikowane –</w:t>
      </w:r>
      <w:r w:rsidR="00E45B1D" w:rsidRPr="004E0F02">
        <w:rPr>
          <w:rFonts w:eastAsia="Calibri" w:cs="Times New Roman"/>
          <w:szCs w:val="24"/>
          <w:lang w:eastAsia="en-US"/>
        </w:rPr>
        <w:t xml:space="preserve"> w </w:t>
      </w:r>
      <w:r w:rsidRPr="004E0F02">
        <w:rPr>
          <w:rFonts w:eastAsia="Calibri" w:cs="Times New Roman"/>
          <w:szCs w:val="24"/>
          <w:lang w:eastAsia="en-US"/>
        </w:rPr>
        <w:t>miarę możliwości</w:t>
      </w:r>
      <w:r w:rsidR="00E45B1D" w:rsidRPr="004E0F02">
        <w:rPr>
          <w:rFonts w:eastAsia="Calibri" w:cs="Times New Roman"/>
          <w:szCs w:val="24"/>
          <w:lang w:eastAsia="en-US"/>
        </w:rPr>
        <w:t xml:space="preserve"> i </w:t>
      </w:r>
      <w:r w:rsidRPr="004E0F02">
        <w:rPr>
          <w:rFonts w:eastAsia="Calibri" w:cs="Times New Roman"/>
          <w:szCs w:val="24"/>
          <w:lang w:eastAsia="en-US"/>
        </w:rPr>
        <w:t>stosownie do przypadku – przy wykorzystaniu środków elektronicznych (art. 1</w:t>
      </w:r>
      <w:r w:rsidR="00E45B1D" w:rsidRPr="004E0F02">
        <w:rPr>
          <w:rFonts w:eastAsia="Calibri" w:cs="Times New Roman"/>
          <w:szCs w:val="24"/>
          <w:lang w:eastAsia="en-US"/>
        </w:rPr>
        <w:t>1 ust. 1 pkt 2 </w:t>
      </w:r>
      <w:r w:rsidRPr="004E0F02">
        <w:rPr>
          <w:rFonts w:eastAsia="Calibri" w:cs="Times New Roman"/>
          <w:szCs w:val="24"/>
          <w:lang w:eastAsia="en-US"/>
        </w:rPr>
        <w:t>projektu ustawy).</w:t>
      </w:r>
      <w:r w:rsidR="00E45B1D" w:rsidRPr="004E0F02">
        <w:rPr>
          <w:rFonts w:eastAsia="Calibri" w:cs="Times New Roman"/>
          <w:szCs w:val="24"/>
          <w:lang w:eastAsia="en-US"/>
        </w:rPr>
        <w:t xml:space="preserve"> W </w:t>
      </w:r>
      <w:r w:rsidRPr="004E0F02">
        <w:rPr>
          <w:rFonts w:eastAsia="Calibri" w:cs="Times New Roman"/>
          <w:szCs w:val="24"/>
          <w:lang w:eastAsia="en-US"/>
        </w:rPr>
        <w:t>przypadku pobierania opłat innych niż te,</w:t>
      </w:r>
      <w:r w:rsidR="00E45B1D" w:rsidRPr="004E0F02">
        <w:rPr>
          <w:rFonts w:eastAsia="Calibri" w:cs="Times New Roman"/>
          <w:szCs w:val="24"/>
          <w:lang w:eastAsia="en-US"/>
        </w:rPr>
        <w:t xml:space="preserve"> o </w:t>
      </w:r>
      <w:r w:rsidRPr="004E0F02">
        <w:rPr>
          <w:rFonts w:eastAsia="Calibri" w:cs="Times New Roman"/>
          <w:szCs w:val="24"/>
          <w:lang w:eastAsia="en-US"/>
        </w:rPr>
        <w:t xml:space="preserve">których mowa powyżej podmiot zobowiązany </w:t>
      </w:r>
      <w:r w:rsidR="003669A7" w:rsidRPr="004E0F02">
        <w:rPr>
          <w:rFonts w:eastAsia="Calibri" w:cs="Times New Roman"/>
          <w:szCs w:val="24"/>
          <w:lang w:eastAsia="en-US"/>
        </w:rPr>
        <w:t xml:space="preserve">również </w:t>
      </w:r>
      <w:r w:rsidRPr="004E0F02">
        <w:rPr>
          <w:rFonts w:eastAsia="Calibri" w:cs="Times New Roman"/>
          <w:szCs w:val="24"/>
          <w:lang w:eastAsia="en-US"/>
        </w:rPr>
        <w:t>wskazuje z</w:t>
      </w:r>
      <w:r w:rsidR="003669A7" w:rsidRPr="004E0F02">
        <w:rPr>
          <w:rFonts w:eastAsia="Calibri" w:cs="Times New Roman"/>
          <w:szCs w:val="24"/>
          <w:lang w:eastAsia="en-US"/>
        </w:rPr>
        <w:t> </w:t>
      </w:r>
      <w:r w:rsidRPr="004E0F02">
        <w:rPr>
          <w:rFonts w:eastAsia="Calibri" w:cs="Times New Roman"/>
          <w:szCs w:val="24"/>
          <w:lang w:eastAsia="en-US"/>
        </w:rPr>
        <w:t>wyprzedzeniem, jakie czynniki są brane pod uwagę przy ustalaniu tych opłat (art.</w:t>
      </w:r>
      <w:r w:rsidR="003669A7" w:rsidRPr="004E0F02">
        <w:rPr>
          <w:rFonts w:eastAsia="Calibri" w:cs="Times New Roman"/>
          <w:szCs w:val="24"/>
          <w:lang w:eastAsia="en-US"/>
        </w:rPr>
        <w:t> </w:t>
      </w:r>
      <w:r w:rsidRPr="004E0F02">
        <w:rPr>
          <w:rFonts w:eastAsia="Calibri" w:cs="Times New Roman"/>
          <w:szCs w:val="24"/>
          <w:lang w:eastAsia="en-US"/>
        </w:rPr>
        <w:t>1</w:t>
      </w:r>
      <w:r w:rsidR="00E45B1D" w:rsidRPr="004E0F02">
        <w:rPr>
          <w:rFonts w:eastAsia="Calibri" w:cs="Times New Roman"/>
          <w:szCs w:val="24"/>
          <w:lang w:eastAsia="en-US"/>
        </w:rPr>
        <w:t>1 ust. 2 </w:t>
      </w:r>
      <w:r w:rsidRPr="004E0F02">
        <w:rPr>
          <w:rFonts w:eastAsia="Calibri" w:cs="Times New Roman"/>
          <w:szCs w:val="24"/>
          <w:lang w:eastAsia="en-US"/>
        </w:rPr>
        <w:t>projektu ustawy). Podmiot zobowiązany podaje na żądanie wnioskodawcy informację o</w:t>
      </w:r>
      <w:r w:rsidR="003669A7" w:rsidRPr="004E0F02">
        <w:rPr>
          <w:rFonts w:eastAsia="Calibri" w:cs="Times New Roman"/>
          <w:szCs w:val="24"/>
          <w:lang w:eastAsia="en-US"/>
        </w:rPr>
        <w:t> </w:t>
      </w:r>
      <w:r w:rsidRPr="004E0F02">
        <w:rPr>
          <w:rFonts w:eastAsia="Calibri" w:cs="Times New Roman"/>
          <w:szCs w:val="24"/>
          <w:lang w:eastAsia="en-US"/>
        </w:rPr>
        <w:t>sposobie obliczania tych opłat</w:t>
      </w:r>
      <w:r w:rsidR="00E45B1D" w:rsidRPr="004E0F02">
        <w:rPr>
          <w:rFonts w:eastAsia="Calibri" w:cs="Times New Roman"/>
          <w:szCs w:val="24"/>
          <w:lang w:eastAsia="en-US"/>
        </w:rPr>
        <w:t xml:space="preserve"> w </w:t>
      </w:r>
      <w:r w:rsidRPr="004E0F02">
        <w:rPr>
          <w:rFonts w:eastAsia="Calibri" w:cs="Times New Roman"/>
          <w:szCs w:val="24"/>
          <w:lang w:eastAsia="en-US"/>
        </w:rPr>
        <w:t>odniesieniu do konkretnego wniosku o ponowne wykorzystywanie (art. 2</w:t>
      </w:r>
      <w:r w:rsidR="00E45B1D" w:rsidRPr="004E0F02">
        <w:rPr>
          <w:rFonts w:eastAsia="Calibri" w:cs="Times New Roman"/>
          <w:szCs w:val="24"/>
          <w:lang w:eastAsia="en-US"/>
        </w:rPr>
        <w:t>1 </w:t>
      </w:r>
      <w:r w:rsidRPr="004E0F02">
        <w:rPr>
          <w:rFonts w:eastAsia="Calibri" w:cs="Times New Roman"/>
          <w:szCs w:val="24"/>
          <w:lang w:eastAsia="en-US"/>
        </w:rPr>
        <w:t>projektu ustawy).</w:t>
      </w:r>
    </w:p>
    <w:p w14:paraId="11D7AD48" w14:textId="049D6E13" w:rsidR="00A42682" w:rsidRPr="004E0F02" w:rsidRDefault="00921A9E"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 xml:space="preserve">Zgodnie z art. 10 ust. 2 projektu ustawy </w:t>
      </w:r>
      <w:r w:rsidR="00A42682" w:rsidRPr="004E0F02">
        <w:rPr>
          <w:rFonts w:eastAsia="Calibri" w:cs="Times New Roman"/>
          <w:szCs w:val="24"/>
          <w:lang w:eastAsia="en-US"/>
        </w:rPr>
        <w:t>podmioty zobowiązane udostępniając lub przekazując informacje sektora publicznego</w:t>
      </w:r>
      <w:r w:rsidR="00E45B1D" w:rsidRPr="004E0F02">
        <w:rPr>
          <w:rFonts w:eastAsia="Calibri" w:cs="Times New Roman"/>
          <w:szCs w:val="24"/>
          <w:lang w:eastAsia="en-US"/>
        </w:rPr>
        <w:t xml:space="preserve"> z </w:t>
      </w:r>
      <w:r w:rsidR="00A42682" w:rsidRPr="004E0F02">
        <w:rPr>
          <w:rFonts w:eastAsia="Calibri" w:cs="Times New Roman"/>
          <w:szCs w:val="24"/>
          <w:lang w:eastAsia="en-US"/>
        </w:rPr>
        <w:t>użyciem systemów teleinformatycznych, są obowiązane do stosowania formatów danych oraz protokołów komunikacyjnych</w:t>
      </w:r>
      <w:r w:rsidR="00E45B1D" w:rsidRPr="004E0F02">
        <w:rPr>
          <w:rFonts w:eastAsia="Calibri" w:cs="Times New Roman"/>
          <w:szCs w:val="24"/>
          <w:lang w:eastAsia="en-US"/>
        </w:rPr>
        <w:t xml:space="preserve"> i </w:t>
      </w:r>
      <w:r w:rsidR="00A42682" w:rsidRPr="004E0F02">
        <w:rPr>
          <w:rFonts w:eastAsia="Calibri" w:cs="Times New Roman"/>
          <w:szCs w:val="24"/>
          <w:lang w:eastAsia="en-US"/>
        </w:rPr>
        <w:t>szyfrujących, określonych</w:t>
      </w:r>
      <w:r w:rsidR="00E45B1D" w:rsidRPr="004E0F02">
        <w:rPr>
          <w:rFonts w:eastAsia="Calibri" w:cs="Times New Roman"/>
          <w:szCs w:val="24"/>
          <w:lang w:eastAsia="en-US"/>
        </w:rPr>
        <w:t xml:space="preserve"> w </w:t>
      </w:r>
      <w:r w:rsidR="00A42682" w:rsidRPr="004E0F02">
        <w:rPr>
          <w:rFonts w:eastAsia="Calibri" w:cs="Times New Roman"/>
          <w:szCs w:val="24"/>
          <w:lang w:eastAsia="en-US"/>
        </w:rPr>
        <w:t>przepisach wydanych na podstawie</w:t>
      </w:r>
      <w:r w:rsidR="00E45B1D" w:rsidRPr="004E0F02">
        <w:rPr>
          <w:rFonts w:eastAsia="Calibri" w:cs="Times New Roman"/>
          <w:szCs w:val="24"/>
          <w:lang w:eastAsia="en-US"/>
        </w:rPr>
        <w:t xml:space="preserve"> art. </w:t>
      </w:r>
      <w:r w:rsidR="00A42682" w:rsidRPr="004E0F02">
        <w:rPr>
          <w:rFonts w:eastAsia="Calibri" w:cs="Times New Roman"/>
          <w:szCs w:val="24"/>
          <w:lang w:eastAsia="en-US"/>
        </w:rPr>
        <w:t>1</w:t>
      </w:r>
      <w:r w:rsidR="00E45B1D" w:rsidRPr="004E0F02">
        <w:rPr>
          <w:rFonts w:eastAsia="Calibri" w:cs="Times New Roman"/>
          <w:szCs w:val="24"/>
          <w:lang w:eastAsia="en-US"/>
        </w:rPr>
        <w:t>8 pkt 1 </w:t>
      </w:r>
      <w:r w:rsidR="00A42682" w:rsidRPr="004E0F02">
        <w:rPr>
          <w:rFonts w:eastAsia="Calibri" w:cs="Times New Roman"/>
          <w:szCs w:val="24"/>
          <w:lang w:eastAsia="en-US"/>
        </w:rPr>
        <w:t>ustawy</w:t>
      </w:r>
      <w:r w:rsidR="00E45B1D" w:rsidRPr="004E0F02">
        <w:rPr>
          <w:rFonts w:eastAsia="Calibri" w:cs="Times New Roman"/>
          <w:szCs w:val="24"/>
          <w:lang w:eastAsia="en-US"/>
        </w:rPr>
        <w:t xml:space="preserve"> z </w:t>
      </w:r>
      <w:r w:rsidR="00A42682" w:rsidRPr="004E0F02">
        <w:rPr>
          <w:rFonts w:eastAsia="Calibri" w:cs="Times New Roman"/>
          <w:szCs w:val="24"/>
          <w:lang w:eastAsia="en-US"/>
        </w:rPr>
        <w:t>dnia 1</w:t>
      </w:r>
      <w:r w:rsidR="00E45B1D" w:rsidRPr="004E0F02">
        <w:rPr>
          <w:rFonts w:eastAsia="Calibri" w:cs="Times New Roman"/>
          <w:szCs w:val="24"/>
          <w:lang w:eastAsia="en-US"/>
        </w:rPr>
        <w:t>7 </w:t>
      </w:r>
      <w:r w:rsidR="00A42682" w:rsidRPr="004E0F02">
        <w:rPr>
          <w:rFonts w:eastAsia="Calibri" w:cs="Times New Roman"/>
          <w:szCs w:val="24"/>
          <w:lang w:eastAsia="en-US"/>
        </w:rPr>
        <w:t>lutego 200</w:t>
      </w:r>
      <w:r w:rsidR="00E45B1D" w:rsidRPr="004E0F02">
        <w:rPr>
          <w:rFonts w:eastAsia="Calibri" w:cs="Times New Roman"/>
          <w:szCs w:val="24"/>
          <w:lang w:eastAsia="en-US"/>
        </w:rPr>
        <w:t>5 </w:t>
      </w:r>
      <w:r w:rsidR="00A42682" w:rsidRPr="004E0F02">
        <w:rPr>
          <w:rFonts w:eastAsia="Calibri" w:cs="Times New Roman"/>
          <w:szCs w:val="24"/>
          <w:lang w:eastAsia="en-US"/>
        </w:rPr>
        <w:t>r.</w:t>
      </w:r>
      <w:r w:rsidR="00E45B1D" w:rsidRPr="004E0F02">
        <w:rPr>
          <w:rFonts w:eastAsia="Calibri" w:cs="Times New Roman"/>
          <w:szCs w:val="24"/>
          <w:lang w:eastAsia="en-US"/>
        </w:rPr>
        <w:t xml:space="preserve"> o </w:t>
      </w:r>
      <w:r w:rsidR="00A42682" w:rsidRPr="004E0F02">
        <w:rPr>
          <w:rFonts w:eastAsia="Calibri" w:cs="Times New Roman"/>
          <w:szCs w:val="24"/>
          <w:lang w:eastAsia="en-US"/>
        </w:rPr>
        <w:t>informatyzacji działalności podmiotów realizujących zadania publiczne</w:t>
      </w:r>
      <w:r w:rsidR="00A42682" w:rsidRPr="004E0F02">
        <w:rPr>
          <w:rFonts w:eastAsia="Calibri" w:cs="Times New Roman"/>
          <w:szCs w:val="24"/>
          <w:vertAlign w:val="superscript"/>
          <w:lang w:eastAsia="en-US"/>
        </w:rPr>
        <w:footnoteReference w:id="34"/>
      </w:r>
      <w:r w:rsidR="00A42682" w:rsidRPr="004E0F02">
        <w:rPr>
          <w:rFonts w:eastAsia="Times New Roman" w:cs="Times New Roman"/>
          <w:szCs w:val="24"/>
          <w:vertAlign w:val="superscript"/>
        </w:rPr>
        <w:t>)</w:t>
      </w:r>
      <w:r w:rsidR="00A42682" w:rsidRPr="004E0F02">
        <w:rPr>
          <w:rFonts w:eastAsia="Calibri" w:cs="Times New Roman"/>
          <w:szCs w:val="24"/>
          <w:lang w:eastAsia="en-US"/>
        </w:rPr>
        <w:t xml:space="preserve">  (jeżeli to możliwe</w:t>
      </w:r>
      <w:r w:rsidR="00E45B1D" w:rsidRPr="004E0F02">
        <w:rPr>
          <w:rFonts w:eastAsia="Calibri" w:cs="Times New Roman"/>
          <w:szCs w:val="24"/>
          <w:lang w:eastAsia="en-US"/>
        </w:rPr>
        <w:t xml:space="preserve"> w </w:t>
      </w:r>
      <w:r w:rsidR="00A42682" w:rsidRPr="004E0F02">
        <w:rPr>
          <w:rFonts w:eastAsia="Calibri" w:cs="Times New Roman"/>
          <w:szCs w:val="24"/>
          <w:lang w:eastAsia="en-US"/>
        </w:rPr>
        <w:t>formacie przeznaczonym do odczytu maszynowego wraz z metadanymi), które zapewnią optymalne wykorzystywanie informacji sektora publicznego. Przepisy te zapewniają jednolite formaty danych oraz protokoły komunikacyjne i</w:t>
      </w:r>
      <w:r w:rsidR="005864E2" w:rsidRPr="004E0F02">
        <w:rPr>
          <w:rFonts w:eastAsia="Calibri" w:cs="Times New Roman"/>
          <w:szCs w:val="24"/>
          <w:lang w:eastAsia="en-US"/>
        </w:rPr>
        <w:t> </w:t>
      </w:r>
      <w:r w:rsidR="00A42682" w:rsidRPr="004E0F02">
        <w:rPr>
          <w:rFonts w:eastAsia="Calibri" w:cs="Times New Roman"/>
          <w:szCs w:val="24"/>
          <w:lang w:eastAsia="en-US"/>
        </w:rPr>
        <w:t>szyfrujące dla informacji będących przedmiotem transferu.</w:t>
      </w:r>
    </w:p>
    <w:p w14:paraId="1A1F66AB" w14:textId="2A159804"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Przepis</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0 ust. </w:t>
      </w:r>
      <w:r w:rsidR="00921A9E" w:rsidRPr="004E0F02">
        <w:rPr>
          <w:rFonts w:eastAsia="Calibri" w:cs="Times New Roman"/>
          <w:szCs w:val="24"/>
          <w:lang w:eastAsia="en-US"/>
        </w:rPr>
        <w:t>4 </w:t>
      </w:r>
      <w:r w:rsidRPr="004E0F02">
        <w:rPr>
          <w:rFonts w:eastAsia="Calibri" w:cs="Times New Roman"/>
          <w:szCs w:val="24"/>
          <w:lang w:eastAsia="en-US"/>
        </w:rPr>
        <w:t>projektu ustawy przewiduje wyłączenie obligatoryjności dodatkowego opracowania informacji sektora publicznego na potrzeby realizacji wniosku</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 Dotyczy to wyłącznie sytuacji,</w:t>
      </w:r>
      <w:r w:rsidR="00E45B1D" w:rsidRPr="004E0F02">
        <w:rPr>
          <w:rFonts w:eastAsia="Calibri" w:cs="Times New Roman"/>
          <w:szCs w:val="24"/>
          <w:lang w:eastAsia="en-US"/>
        </w:rPr>
        <w:t xml:space="preserve"> w </w:t>
      </w:r>
      <w:r w:rsidRPr="004E0F02">
        <w:rPr>
          <w:rFonts w:eastAsia="Calibri" w:cs="Times New Roman"/>
          <w:szCs w:val="24"/>
          <w:lang w:eastAsia="en-US"/>
        </w:rPr>
        <w:t>której dokonanie określonych we wniosku czynności wymaga podjęcia nieproporcjonalnych działań, przekraczającego proste operacje na</w:t>
      </w:r>
      <w:r w:rsidR="005864E2" w:rsidRPr="004E0F02">
        <w:rPr>
          <w:rFonts w:eastAsia="Calibri" w:cs="Times New Roman"/>
          <w:szCs w:val="24"/>
          <w:lang w:eastAsia="en-US"/>
        </w:rPr>
        <w:t> </w:t>
      </w:r>
      <w:r w:rsidRPr="004E0F02">
        <w:rPr>
          <w:rFonts w:eastAsia="Calibri" w:cs="Times New Roman"/>
          <w:szCs w:val="24"/>
          <w:lang w:eastAsia="en-US"/>
        </w:rPr>
        <w:t>informacji. Przepis ten</w:t>
      </w:r>
      <w:r w:rsidR="00E45B1D" w:rsidRPr="004E0F02">
        <w:rPr>
          <w:rFonts w:eastAsia="Calibri" w:cs="Times New Roman"/>
          <w:szCs w:val="24"/>
          <w:lang w:eastAsia="en-US"/>
        </w:rPr>
        <w:t xml:space="preserve"> w </w:t>
      </w:r>
      <w:r w:rsidRPr="004E0F02">
        <w:rPr>
          <w:rFonts w:eastAsia="Calibri" w:cs="Times New Roman"/>
          <w:szCs w:val="24"/>
          <w:lang w:eastAsia="en-US"/>
        </w:rPr>
        <w:t>szczególności dotyczyć może podmiotów zobowiązanych będących muzeami państwowymi lub muzeami samorządowymi, bibliotekami publicznymi i</w:t>
      </w:r>
      <w:r w:rsidR="005864E2" w:rsidRPr="004E0F02">
        <w:rPr>
          <w:rFonts w:eastAsia="Calibri" w:cs="Times New Roman"/>
          <w:szCs w:val="24"/>
          <w:lang w:eastAsia="en-US"/>
        </w:rPr>
        <w:t> </w:t>
      </w:r>
      <w:r w:rsidRPr="004E0F02">
        <w:rPr>
          <w:rFonts w:eastAsia="Calibri" w:cs="Times New Roman"/>
          <w:szCs w:val="24"/>
          <w:lang w:eastAsia="en-US"/>
        </w:rPr>
        <w:t>naukowymi oraz archiwami państwowymi ze względu na formaty posiadanych przez nie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przypadku gdy wniosek będzie obejmował np. dany materiał biblioteczny</w:t>
      </w:r>
      <w:r w:rsidR="00E45B1D" w:rsidRPr="004E0F02">
        <w:rPr>
          <w:rFonts w:eastAsia="Calibri" w:cs="Times New Roman"/>
          <w:szCs w:val="24"/>
          <w:lang w:eastAsia="en-US"/>
        </w:rPr>
        <w:t xml:space="preserve"> w </w:t>
      </w:r>
      <w:r w:rsidRPr="004E0F02">
        <w:rPr>
          <w:rFonts w:eastAsia="Calibri" w:cs="Times New Roman"/>
          <w:szCs w:val="24"/>
          <w:lang w:eastAsia="en-US"/>
        </w:rPr>
        <w:t>postaci elektronicznej,</w:t>
      </w:r>
      <w:r w:rsidR="00E45B1D" w:rsidRPr="004E0F02">
        <w:rPr>
          <w:rFonts w:eastAsia="Calibri" w:cs="Times New Roman"/>
          <w:szCs w:val="24"/>
          <w:lang w:eastAsia="en-US"/>
        </w:rPr>
        <w:t xml:space="preserve"> a </w:t>
      </w:r>
      <w:r w:rsidRPr="004E0F02">
        <w:rPr>
          <w:rFonts w:eastAsia="Calibri" w:cs="Times New Roman"/>
          <w:szCs w:val="24"/>
          <w:lang w:eastAsia="en-US"/>
        </w:rPr>
        <w:t>podmiot zobowiązany byłby</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posiadaniu </w:t>
      </w:r>
      <w:r w:rsidRPr="004E0F02">
        <w:rPr>
          <w:rFonts w:eastAsia="Calibri" w:cs="Times New Roman"/>
          <w:szCs w:val="24"/>
          <w:lang w:eastAsia="en-US"/>
        </w:rPr>
        <w:lastRenderedPageBreak/>
        <w:t>jedynie jego egzemplarza, nie będzie wówczas obowiązany do opracowania tego materiału w</w:t>
      </w:r>
      <w:r w:rsidR="005864E2" w:rsidRPr="004E0F02">
        <w:rPr>
          <w:rFonts w:eastAsia="Calibri" w:cs="Times New Roman"/>
          <w:szCs w:val="24"/>
          <w:lang w:eastAsia="en-US"/>
        </w:rPr>
        <w:t> </w:t>
      </w:r>
      <w:r w:rsidRPr="004E0F02">
        <w:rPr>
          <w:rFonts w:eastAsia="Calibri" w:cs="Times New Roman"/>
          <w:szCs w:val="24"/>
          <w:lang w:eastAsia="en-US"/>
        </w:rPr>
        <w:t>postać elektroniczną, czyli dokonania digitalizacji egzemplarza.</w:t>
      </w:r>
    </w:p>
    <w:p w14:paraId="690DD627" w14:textId="19EF9F0E" w:rsidR="00921A9E"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Przepisy wprowadzone</w:t>
      </w:r>
      <w:r w:rsidR="00E45B1D" w:rsidRPr="004E0F02">
        <w:rPr>
          <w:rFonts w:eastAsia="Calibri" w:cs="Times New Roman"/>
          <w:szCs w:val="24"/>
          <w:lang w:eastAsia="en-US"/>
        </w:rPr>
        <w:t xml:space="preserve"> w art. </w:t>
      </w:r>
      <w:r w:rsidRPr="004E0F02">
        <w:rPr>
          <w:rFonts w:eastAsia="Calibri" w:cs="Times New Roman"/>
          <w:szCs w:val="24"/>
          <w:lang w:eastAsia="en-US"/>
        </w:rPr>
        <w:t>1</w:t>
      </w:r>
      <w:r w:rsidR="00E45B1D" w:rsidRPr="004E0F02">
        <w:rPr>
          <w:rFonts w:eastAsia="Calibri" w:cs="Times New Roman"/>
          <w:szCs w:val="24"/>
          <w:lang w:eastAsia="en-US"/>
        </w:rPr>
        <w:t>0 ust. </w:t>
      </w:r>
      <w:r w:rsidR="00921A9E" w:rsidRPr="004E0F02">
        <w:rPr>
          <w:rFonts w:eastAsia="Calibri" w:cs="Times New Roman"/>
          <w:szCs w:val="24"/>
          <w:lang w:eastAsia="en-US"/>
        </w:rPr>
        <w:t xml:space="preserve">1, 3 </w:t>
      </w:r>
      <w:r w:rsidR="00E45B1D" w:rsidRPr="004E0F02">
        <w:rPr>
          <w:rFonts w:eastAsia="Calibri" w:cs="Times New Roman"/>
          <w:szCs w:val="24"/>
          <w:lang w:eastAsia="en-US"/>
        </w:rPr>
        <w:t>i </w:t>
      </w:r>
      <w:r w:rsidR="00921A9E" w:rsidRPr="004E0F02">
        <w:rPr>
          <w:rFonts w:eastAsia="Calibri" w:cs="Times New Roman"/>
          <w:szCs w:val="24"/>
          <w:lang w:eastAsia="en-US"/>
        </w:rPr>
        <w:t>5 </w:t>
      </w:r>
      <w:r w:rsidRPr="004E0F02">
        <w:rPr>
          <w:rFonts w:eastAsia="Calibri" w:cs="Times New Roman"/>
          <w:szCs w:val="24"/>
          <w:lang w:eastAsia="en-US"/>
        </w:rPr>
        <w:t>projektu ustawy stanowią nowość</w:t>
      </w:r>
      <w:r w:rsidR="00E45B1D" w:rsidRPr="004E0F02">
        <w:rPr>
          <w:rFonts w:eastAsia="Calibri" w:cs="Times New Roman"/>
          <w:szCs w:val="24"/>
          <w:lang w:eastAsia="en-US"/>
        </w:rPr>
        <w:t xml:space="preserve"> w </w:t>
      </w:r>
      <w:r w:rsidRPr="004E0F02">
        <w:rPr>
          <w:rFonts w:eastAsia="Calibri" w:cs="Times New Roman"/>
          <w:szCs w:val="24"/>
          <w:lang w:eastAsia="en-US"/>
        </w:rPr>
        <w:t>stosunku do</w:t>
      </w:r>
      <w:r w:rsidR="00A464FC" w:rsidRPr="004E0F02">
        <w:rPr>
          <w:rFonts w:eastAsia="Calibri" w:cs="Times New Roman"/>
          <w:szCs w:val="24"/>
          <w:lang w:eastAsia="en-US"/>
        </w:rPr>
        <w:t> </w:t>
      </w:r>
      <w:r w:rsidRPr="004E0F02">
        <w:rPr>
          <w:rFonts w:eastAsia="Calibri" w:cs="Times New Roman"/>
          <w:szCs w:val="24"/>
          <w:lang w:eastAsia="en-US"/>
        </w:rPr>
        <w:t>regulacji ustawy</w:t>
      </w:r>
      <w:r w:rsidR="00E45B1D" w:rsidRPr="004E0F02">
        <w:rPr>
          <w:rFonts w:eastAsia="Calibri" w:cs="Times New Roman"/>
          <w:szCs w:val="24"/>
          <w:lang w:eastAsia="en-US"/>
        </w:rPr>
        <w:t xml:space="preserve"> z </w:t>
      </w:r>
      <w:r w:rsidRPr="004E0F02">
        <w:rPr>
          <w:rFonts w:eastAsia="Calibri" w:cs="Times New Roman"/>
          <w:szCs w:val="24"/>
          <w:lang w:eastAsia="en-US"/>
        </w:rPr>
        <w:t>201</w:t>
      </w:r>
      <w:r w:rsidR="00E45B1D" w:rsidRPr="004E0F02">
        <w:rPr>
          <w:rFonts w:eastAsia="Calibri" w:cs="Times New Roman"/>
          <w:szCs w:val="24"/>
          <w:lang w:eastAsia="en-US"/>
        </w:rPr>
        <w:t>6 </w:t>
      </w:r>
      <w:r w:rsidRPr="004E0F02">
        <w:rPr>
          <w:rFonts w:eastAsia="Calibri" w:cs="Times New Roman"/>
          <w:szCs w:val="24"/>
          <w:lang w:eastAsia="en-US"/>
        </w:rPr>
        <w:t xml:space="preserve">r. </w:t>
      </w:r>
    </w:p>
    <w:p w14:paraId="168032FC" w14:textId="57871753" w:rsidR="00921A9E" w:rsidRPr="004E0F02" w:rsidRDefault="00921A9E"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Przepis art. 10 ust. 1 projektu ustawy formułuje zasadę, zgodnie z którą podmioty zobowiązane, o ile to możliwe, powinny udostępniać lub przekazywać informacje sektora publicznego w celu ponownego wykorzystywania, jako otarte dane. Otwarte dane stanowią szczególny rodzaj informacji sektora publicznego. Warunkiem uznania określonych informacji sektora publicznego za otwarte dane jest spełnianie przez nich wszystki</w:t>
      </w:r>
      <w:r w:rsidR="00C74BD9" w:rsidRPr="004E0F02">
        <w:rPr>
          <w:rFonts w:eastAsia="Calibri" w:cs="Times New Roman"/>
          <w:szCs w:val="24"/>
          <w:lang w:eastAsia="en-US"/>
        </w:rPr>
        <w:t>ch przesłanek określonych w </w:t>
      </w:r>
      <w:r w:rsidRPr="004E0F02">
        <w:rPr>
          <w:rFonts w:eastAsia="Calibri" w:cs="Times New Roman"/>
          <w:szCs w:val="24"/>
          <w:lang w:eastAsia="en-US"/>
        </w:rPr>
        <w:t xml:space="preserve">art. 2 pkt 11 projektu ustawy. Przesłanek tych, z różnych względów, nie będą spełniać wszystkie informacje sektora publicznego. Zasada otwartości danych wyrażona w art. 10 ust. 1 projektu ustawy wyznacza dysponentom danych kierunek działań, którym jest podejmowane starań mających celu podnoszenie stopnia otwartości posiadanych informacji sektora publicznego </w:t>
      </w:r>
      <w:r w:rsidR="008E300A" w:rsidRPr="004E0F02">
        <w:rPr>
          <w:rFonts w:eastAsia="Calibri" w:cs="Times New Roman"/>
          <w:szCs w:val="24"/>
          <w:lang w:eastAsia="en-US"/>
        </w:rPr>
        <w:t>oraz</w:t>
      </w:r>
      <w:r w:rsidRPr="004E0F02">
        <w:rPr>
          <w:rFonts w:eastAsia="Calibri" w:cs="Times New Roman"/>
          <w:szCs w:val="24"/>
          <w:lang w:eastAsia="en-US"/>
        </w:rPr>
        <w:t xml:space="preserve"> ich udostępnianie jako danych otwartych.</w:t>
      </w:r>
    </w:p>
    <w:p w14:paraId="41B27AD9" w14:textId="08629836"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Na podstawie</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0 ust. </w:t>
      </w:r>
      <w:r w:rsidR="00921A9E" w:rsidRPr="004E0F02">
        <w:rPr>
          <w:rFonts w:eastAsia="Calibri" w:cs="Times New Roman"/>
          <w:szCs w:val="24"/>
          <w:lang w:eastAsia="en-US"/>
        </w:rPr>
        <w:t>3 </w:t>
      </w:r>
      <w:r w:rsidRPr="004E0F02">
        <w:rPr>
          <w:rFonts w:eastAsia="Calibri" w:cs="Times New Roman"/>
          <w:szCs w:val="24"/>
          <w:lang w:eastAsia="en-US"/>
        </w:rPr>
        <w:t>projektu ustawy podmiot zobowiązany, który udostępnia informacje sektora publicznego poprzez API zobligowany został do zapewnienia dostępności, stabilności, utrzymania przez cały cykl użytkowania, jednolitości sposobu korzystania</w:t>
      </w:r>
      <w:r w:rsidR="00E45B1D" w:rsidRPr="004E0F02">
        <w:rPr>
          <w:rFonts w:eastAsia="Calibri" w:cs="Times New Roman"/>
          <w:szCs w:val="24"/>
          <w:lang w:eastAsia="en-US"/>
        </w:rPr>
        <w:t xml:space="preserve"> i </w:t>
      </w:r>
      <w:r w:rsidRPr="004E0F02">
        <w:rPr>
          <w:rFonts w:eastAsia="Calibri" w:cs="Times New Roman"/>
          <w:szCs w:val="24"/>
          <w:lang w:eastAsia="en-US"/>
        </w:rPr>
        <w:t>standardów, łatwości użytkowania oraz bezpieczeństwa stosowanego interfejsu.</w:t>
      </w:r>
    </w:p>
    <w:p w14:paraId="771FB0AB" w14:textId="515B6AA1"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Na podstawie</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0 ust. </w:t>
      </w:r>
      <w:r w:rsidR="00921A9E" w:rsidRPr="004E0F02">
        <w:rPr>
          <w:rFonts w:eastAsia="Calibri" w:cs="Times New Roman"/>
          <w:szCs w:val="24"/>
          <w:lang w:eastAsia="en-US"/>
        </w:rPr>
        <w:t>5 </w:t>
      </w:r>
      <w:r w:rsidRPr="004E0F02">
        <w:rPr>
          <w:rFonts w:eastAsia="Calibri" w:cs="Times New Roman"/>
          <w:szCs w:val="24"/>
          <w:lang w:eastAsia="en-US"/>
        </w:rPr>
        <w:t>projektu ustawy wskazano możliwość przekazywania lub udostępni</w:t>
      </w:r>
      <w:r w:rsidR="00242BE6" w:rsidRPr="004E0F02">
        <w:rPr>
          <w:rFonts w:eastAsia="Calibri" w:cs="Times New Roman"/>
          <w:szCs w:val="24"/>
          <w:lang w:eastAsia="en-US"/>
        </w:rPr>
        <w:t>a</w:t>
      </w:r>
      <w:r w:rsidRPr="004E0F02">
        <w:rPr>
          <w:rFonts w:eastAsia="Calibri" w:cs="Times New Roman"/>
          <w:szCs w:val="24"/>
          <w:lang w:eastAsia="en-US"/>
        </w:rPr>
        <w:t xml:space="preserve">nia przez podmioty zobowiązane do ponownego wykorzystywania kodów źródłowych </w:t>
      </w:r>
      <w:r w:rsidR="00921A9E" w:rsidRPr="004E0F02">
        <w:rPr>
          <w:rFonts w:eastAsia="Calibri" w:cs="Times New Roman"/>
          <w:szCs w:val="24"/>
          <w:lang w:eastAsia="en-US"/>
        </w:rPr>
        <w:t xml:space="preserve">oraz innych elementów </w:t>
      </w:r>
      <w:r w:rsidRPr="004E0F02">
        <w:rPr>
          <w:rFonts w:eastAsia="Calibri" w:cs="Times New Roman"/>
          <w:szCs w:val="24"/>
          <w:lang w:eastAsia="en-US"/>
        </w:rPr>
        <w:t>programów  komputerowych opracowanych</w:t>
      </w:r>
      <w:r w:rsidR="00E45B1D" w:rsidRPr="004E0F02">
        <w:rPr>
          <w:rFonts w:eastAsia="Calibri" w:cs="Times New Roman"/>
          <w:szCs w:val="24"/>
          <w:lang w:eastAsia="en-US"/>
        </w:rPr>
        <w:t xml:space="preserve"> w </w:t>
      </w:r>
      <w:r w:rsidRPr="004E0F02">
        <w:rPr>
          <w:rFonts w:eastAsia="Calibri" w:cs="Times New Roman"/>
          <w:szCs w:val="24"/>
          <w:lang w:eastAsia="en-US"/>
        </w:rPr>
        <w:t>ramach realizacji zadań publicznych. Pod pojęciem kodu źródłowego rozumie się alfanumeryczny zapis programu komputerowego składający się</w:t>
      </w:r>
      <w:r w:rsidR="00E45B1D" w:rsidRPr="004E0F02">
        <w:rPr>
          <w:rFonts w:eastAsia="Calibri" w:cs="Times New Roman"/>
          <w:szCs w:val="24"/>
          <w:lang w:eastAsia="en-US"/>
        </w:rPr>
        <w:t xml:space="preserve"> z </w:t>
      </w:r>
      <w:r w:rsidRPr="004E0F02">
        <w:rPr>
          <w:rFonts w:eastAsia="Calibri" w:cs="Times New Roman"/>
          <w:szCs w:val="24"/>
          <w:lang w:eastAsia="en-US"/>
        </w:rPr>
        <w:t>liter, cyfr, symboli</w:t>
      </w:r>
      <w:r w:rsidR="00E45B1D" w:rsidRPr="004E0F02">
        <w:rPr>
          <w:rFonts w:eastAsia="Calibri" w:cs="Times New Roman"/>
          <w:szCs w:val="24"/>
          <w:lang w:eastAsia="en-US"/>
        </w:rPr>
        <w:t xml:space="preserve"> i </w:t>
      </w:r>
      <w:r w:rsidRPr="004E0F02">
        <w:rPr>
          <w:rFonts w:eastAsia="Calibri" w:cs="Times New Roman"/>
          <w:szCs w:val="24"/>
          <w:lang w:eastAsia="en-US"/>
        </w:rPr>
        <w:t>innych znaków, stanowiących zapis poleceń adresowanych do komputera, utworzonych zgodnie</w:t>
      </w:r>
      <w:r w:rsidR="00E45B1D" w:rsidRPr="004E0F02">
        <w:rPr>
          <w:rFonts w:eastAsia="Calibri" w:cs="Times New Roman"/>
          <w:szCs w:val="24"/>
          <w:lang w:eastAsia="en-US"/>
        </w:rPr>
        <w:t xml:space="preserve"> z </w:t>
      </w:r>
      <w:r w:rsidRPr="004E0F02">
        <w:rPr>
          <w:rFonts w:eastAsia="Calibri" w:cs="Times New Roman"/>
          <w:szCs w:val="24"/>
          <w:lang w:eastAsia="en-US"/>
        </w:rPr>
        <w:t>zasadami określonego języka programowania.</w:t>
      </w:r>
    </w:p>
    <w:p w14:paraId="15C98829" w14:textId="6E9C86B8"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Podmioty zobowiązane</w:t>
      </w:r>
      <w:r w:rsidR="00E45B1D" w:rsidRPr="004E0F02">
        <w:rPr>
          <w:rFonts w:eastAsia="Calibri" w:cs="Times New Roman"/>
          <w:szCs w:val="24"/>
          <w:lang w:eastAsia="en-US"/>
        </w:rPr>
        <w:t xml:space="preserve"> w </w:t>
      </w:r>
      <w:r w:rsidRPr="004E0F02">
        <w:rPr>
          <w:rFonts w:eastAsia="Calibri" w:cs="Times New Roman"/>
          <w:szCs w:val="24"/>
          <w:lang w:eastAsia="en-US"/>
        </w:rPr>
        <w:t>celu ponownego wykorzystywania:</w:t>
      </w:r>
    </w:p>
    <w:p w14:paraId="6F794011" w14:textId="77777777" w:rsidR="00A42682" w:rsidRPr="004E0F02" w:rsidRDefault="00A42682" w:rsidP="004D2DA7">
      <w:pPr>
        <w:widowControl/>
        <w:numPr>
          <w:ilvl w:val="0"/>
          <w:numId w:val="19"/>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udostępniają informacje sektora publicznego:</w:t>
      </w:r>
    </w:p>
    <w:p w14:paraId="199BCEB4" w14:textId="49A59E31" w:rsidR="00A42682" w:rsidRPr="004E0F02" w:rsidRDefault="00A42682" w:rsidP="004D2DA7">
      <w:pPr>
        <w:widowControl/>
        <w:numPr>
          <w:ilvl w:val="0"/>
          <w:numId w:val="20"/>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na stronie podmiotowej BIP (dotyczy wyłącznie informacji publicznej w</w:t>
      </w:r>
      <w:r w:rsidR="00242BE6" w:rsidRPr="004E0F02">
        <w:rPr>
          <w:rFonts w:eastAsia="Calibri" w:cs="Times New Roman"/>
          <w:szCs w:val="24"/>
          <w:lang w:eastAsia="en-US"/>
        </w:rPr>
        <w:t> </w:t>
      </w:r>
      <w:r w:rsidRPr="004E0F02">
        <w:rPr>
          <w:rFonts w:eastAsia="Calibri" w:cs="Times New Roman"/>
          <w:szCs w:val="24"/>
          <w:lang w:eastAsia="en-US"/>
        </w:rPr>
        <w:t>rozumieniu ustawy</w:t>
      </w:r>
      <w:r w:rsidR="00E45B1D" w:rsidRPr="004E0F02">
        <w:rPr>
          <w:rFonts w:eastAsia="Calibri" w:cs="Times New Roman"/>
          <w:szCs w:val="24"/>
          <w:lang w:eastAsia="en-US"/>
        </w:rPr>
        <w:t xml:space="preserve"> o </w:t>
      </w:r>
      <w:r w:rsidRPr="004E0F02">
        <w:rPr>
          <w:rFonts w:eastAsia="Calibri" w:cs="Times New Roman"/>
          <w:szCs w:val="24"/>
          <w:lang w:eastAsia="en-US"/>
        </w:rPr>
        <w:t>dostępie do informacji publicznej),</w:t>
      </w:r>
    </w:p>
    <w:p w14:paraId="0955930E" w14:textId="3B167F7A" w:rsidR="00A42682" w:rsidRPr="004E0F02" w:rsidRDefault="00A42682" w:rsidP="004D2DA7">
      <w:pPr>
        <w:widowControl/>
        <w:numPr>
          <w:ilvl w:val="0"/>
          <w:numId w:val="20"/>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na portalu danych,</w:t>
      </w:r>
    </w:p>
    <w:p w14:paraId="32F73463" w14:textId="2E10554E" w:rsidR="00A42682" w:rsidRPr="004E0F02" w:rsidRDefault="00A42682" w:rsidP="004D2DA7">
      <w:pPr>
        <w:widowControl/>
        <w:numPr>
          <w:ilvl w:val="0"/>
          <w:numId w:val="20"/>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w inny sposób (np.</w:t>
      </w:r>
      <w:r w:rsidR="00E45B1D" w:rsidRPr="004E0F02">
        <w:rPr>
          <w:rFonts w:eastAsia="Calibri" w:cs="Times New Roman"/>
          <w:szCs w:val="24"/>
          <w:lang w:eastAsia="en-US"/>
        </w:rPr>
        <w:t xml:space="preserve"> w </w:t>
      </w:r>
      <w:r w:rsidRPr="004E0F02">
        <w:rPr>
          <w:rFonts w:eastAsia="Calibri" w:cs="Times New Roman"/>
          <w:szCs w:val="24"/>
          <w:lang w:eastAsia="en-US"/>
        </w:rPr>
        <w:t>innym systemie teleinformatycznym) oraz wskazują warunki ponownego wykorzystywania lub opłaty, jeżeli zostały określone albo wyraźnie zastrzegają</w:t>
      </w:r>
      <w:r w:rsidR="00E45B1D" w:rsidRPr="004E0F02">
        <w:rPr>
          <w:rFonts w:eastAsia="Calibri" w:cs="Times New Roman"/>
          <w:szCs w:val="24"/>
          <w:lang w:eastAsia="en-US"/>
        </w:rPr>
        <w:t xml:space="preserve"> o </w:t>
      </w:r>
      <w:r w:rsidRPr="004E0F02">
        <w:rPr>
          <w:rFonts w:eastAsia="Calibri" w:cs="Times New Roman"/>
          <w:szCs w:val="24"/>
          <w:lang w:eastAsia="en-US"/>
        </w:rPr>
        <w:t>braku takich warunków lub opłatach;</w:t>
      </w:r>
    </w:p>
    <w:p w14:paraId="1F775A92" w14:textId="585C4380" w:rsidR="008E300A" w:rsidRPr="004E0F02" w:rsidRDefault="00A42682" w:rsidP="008E300A">
      <w:pPr>
        <w:widowControl/>
        <w:numPr>
          <w:ilvl w:val="0"/>
          <w:numId w:val="19"/>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przekazują informacje sektora publicznego na wniosek.</w:t>
      </w:r>
    </w:p>
    <w:p w14:paraId="66966ACD" w14:textId="77777777" w:rsidR="008E300A" w:rsidRPr="004E0F02" w:rsidRDefault="008E300A" w:rsidP="008E300A">
      <w:pPr>
        <w:widowControl/>
        <w:autoSpaceDE/>
        <w:autoSpaceDN/>
        <w:adjustRightInd/>
        <w:spacing w:after="120" w:line="276" w:lineRule="auto"/>
        <w:contextualSpacing/>
        <w:jc w:val="both"/>
        <w:rPr>
          <w:rFonts w:eastAsia="Calibri" w:cs="Times New Roman"/>
          <w:szCs w:val="24"/>
          <w:lang w:eastAsia="en-US"/>
        </w:rPr>
      </w:pPr>
    </w:p>
    <w:p w14:paraId="6073E5BB" w14:textId="028071C3"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w:t>
      </w:r>
      <w:r w:rsidR="00E45B1D" w:rsidRPr="004E0F02">
        <w:rPr>
          <w:rFonts w:eastAsia="Calibri" w:cs="Times New Roman"/>
          <w:szCs w:val="24"/>
          <w:lang w:eastAsia="en-US"/>
        </w:rPr>
        <w:t xml:space="preserve"> z art. </w:t>
      </w:r>
      <w:r w:rsidRPr="004E0F02">
        <w:rPr>
          <w:rFonts w:eastAsia="Calibri" w:cs="Times New Roman"/>
          <w:szCs w:val="24"/>
          <w:lang w:eastAsia="en-US"/>
        </w:rPr>
        <w:t>1</w:t>
      </w:r>
      <w:r w:rsidR="00E45B1D" w:rsidRPr="004E0F02">
        <w:rPr>
          <w:rFonts w:eastAsia="Calibri" w:cs="Times New Roman"/>
          <w:szCs w:val="24"/>
          <w:lang w:eastAsia="en-US"/>
        </w:rPr>
        <w:t>1 ust. </w:t>
      </w:r>
      <w:r w:rsidR="008E300A" w:rsidRPr="004E0F02">
        <w:rPr>
          <w:rFonts w:eastAsia="Calibri" w:cs="Times New Roman"/>
          <w:szCs w:val="24"/>
          <w:lang w:eastAsia="en-US"/>
        </w:rPr>
        <w:t>3 </w:t>
      </w:r>
      <w:r w:rsidRPr="004E0F02">
        <w:rPr>
          <w:rFonts w:eastAsia="Calibri" w:cs="Times New Roman"/>
          <w:szCs w:val="24"/>
          <w:lang w:eastAsia="en-US"/>
        </w:rPr>
        <w:t>projektu ustawy podmiot zobowiązany, który udostępnia lub przekazuje informacje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sposób inny niż</w:t>
      </w:r>
      <w:r w:rsidR="00E45B1D" w:rsidRPr="004E0F02">
        <w:rPr>
          <w:rFonts w:eastAsia="Calibri" w:cs="Times New Roman"/>
          <w:szCs w:val="24"/>
          <w:lang w:eastAsia="en-US"/>
        </w:rPr>
        <w:t xml:space="preserve"> w </w:t>
      </w:r>
      <w:r w:rsidRPr="004E0F02">
        <w:rPr>
          <w:rFonts w:eastAsia="Calibri" w:cs="Times New Roman"/>
          <w:szCs w:val="24"/>
          <w:lang w:eastAsia="en-US"/>
        </w:rPr>
        <w:t>Biuletynie Informacji Publicznej lub portalu danych, udostępniając</w:t>
      </w:r>
      <w:r w:rsidR="00E45B1D" w:rsidRPr="004E0F02">
        <w:rPr>
          <w:rFonts w:eastAsia="Calibri" w:cs="Times New Roman"/>
          <w:szCs w:val="24"/>
          <w:lang w:eastAsia="en-US"/>
        </w:rPr>
        <w:t xml:space="preserve"> w </w:t>
      </w:r>
      <w:r w:rsidRPr="004E0F02">
        <w:rPr>
          <w:rFonts w:eastAsia="Calibri" w:cs="Times New Roman"/>
          <w:szCs w:val="24"/>
          <w:lang w:eastAsia="en-US"/>
        </w:rPr>
        <w:t>tym miejscu, wskaz</w:t>
      </w:r>
      <w:r w:rsidR="00242BE6" w:rsidRPr="004E0F02">
        <w:rPr>
          <w:rFonts w:eastAsia="Calibri" w:cs="Times New Roman"/>
          <w:szCs w:val="24"/>
          <w:lang w:eastAsia="en-US"/>
        </w:rPr>
        <w:t>uje</w:t>
      </w:r>
      <w:r w:rsidRPr="004E0F02">
        <w:rPr>
          <w:rFonts w:eastAsia="Calibri" w:cs="Times New Roman"/>
          <w:szCs w:val="24"/>
          <w:lang w:eastAsia="en-US"/>
        </w:rPr>
        <w:t xml:space="preserve"> warunki ponownego wykorzystywania, jeżeli zostały określone,</w:t>
      </w:r>
      <w:r w:rsidR="00E45B1D" w:rsidRPr="004E0F02">
        <w:rPr>
          <w:rFonts w:eastAsia="Calibri" w:cs="Times New Roman"/>
          <w:szCs w:val="24"/>
          <w:lang w:eastAsia="en-US"/>
        </w:rPr>
        <w:t xml:space="preserve"> a </w:t>
      </w:r>
      <w:r w:rsidRPr="004E0F02">
        <w:rPr>
          <w:rFonts w:eastAsia="Calibri" w:cs="Times New Roman"/>
          <w:szCs w:val="24"/>
          <w:lang w:eastAsia="en-US"/>
        </w:rPr>
        <w:t>także określ</w:t>
      </w:r>
      <w:r w:rsidR="006C4FF4" w:rsidRPr="004E0F02">
        <w:rPr>
          <w:rFonts w:eastAsia="Calibri" w:cs="Times New Roman"/>
          <w:szCs w:val="24"/>
          <w:lang w:eastAsia="en-US"/>
        </w:rPr>
        <w:t>a</w:t>
      </w:r>
      <w:r w:rsidRPr="004E0F02">
        <w:rPr>
          <w:rFonts w:eastAsia="Calibri" w:cs="Times New Roman"/>
          <w:szCs w:val="24"/>
          <w:lang w:eastAsia="en-US"/>
        </w:rPr>
        <w:t xml:space="preserve"> wysokość opłat albo wyraźnie zastrze</w:t>
      </w:r>
      <w:r w:rsidR="006C4FF4" w:rsidRPr="004E0F02">
        <w:rPr>
          <w:rFonts w:eastAsia="Calibri" w:cs="Times New Roman"/>
          <w:szCs w:val="24"/>
          <w:lang w:eastAsia="en-US"/>
        </w:rPr>
        <w:t>ga</w:t>
      </w:r>
      <w:r w:rsidRPr="004E0F02">
        <w:rPr>
          <w:rFonts w:eastAsia="Calibri" w:cs="Times New Roman"/>
          <w:szCs w:val="24"/>
          <w:lang w:eastAsia="en-US"/>
        </w:rPr>
        <w:t xml:space="preserve"> o braku warunków ponownego wykorzystywania lub opłat.</w:t>
      </w:r>
    </w:p>
    <w:p w14:paraId="59412FA4" w14:textId="6F311DE1"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lastRenderedPageBreak/>
        <w:t>W przypadku informacji sektora publicznego udostępnionych lub przekazanych</w:t>
      </w:r>
      <w:r w:rsidR="00E45B1D" w:rsidRPr="004E0F02">
        <w:rPr>
          <w:rFonts w:eastAsia="Calibri" w:cs="Times New Roman"/>
          <w:szCs w:val="24"/>
          <w:lang w:eastAsia="en-US"/>
        </w:rPr>
        <w:t xml:space="preserve"> w </w:t>
      </w:r>
      <w:r w:rsidRPr="004E0F02">
        <w:rPr>
          <w:rFonts w:eastAsia="Calibri" w:cs="Times New Roman"/>
          <w:szCs w:val="24"/>
          <w:lang w:eastAsia="en-US"/>
        </w:rPr>
        <w:t>ten sposób, jeżeli zostały określone warunki ponownego wykorzystywania lub opłaty albo wyraźnie zastrzeżono o braku warunków lub opłatach, jest zasadą, że zainteresowany wykorzystuje je</w:t>
      </w:r>
      <w:r w:rsidR="006C4FF4" w:rsidRPr="004E0F02">
        <w:rPr>
          <w:rFonts w:eastAsia="Calibri" w:cs="Times New Roman"/>
          <w:szCs w:val="24"/>
          <w:lang w:eastAsia="en-US"/>
        </w:rPr>
        <w:t> </w:t>
      </w:r>
      <w:r w:rsidRPr="004E0F02">
        <w:rPr>
          <w:rFonts w:eastAsia="Calibri" w:cs="Times New Roman"/>
          <w:szCs w:val="24"/>
          <w:lang w:eastAsia="en-US"/>
        </w:rPr>
        <w:t>bez konieczności składania odrębnych wniosków. Wyjątkiem jest sytuacja,</w:t>
      </w:r>
      <w:r w:rsidR="00E45B1D" w:rsidRPr="004E0F02">
        <w:rPr>
          <w:rFonts w:eastAsia="Calibri" w:cs="Times New Roman"/>
          <w:szCs w:val="24"/>
          <w:lang w:eastAsia="en-US"/>
        </w:rPr>
        <w:t xml:space="preserve"> w </w:t>
      </w:r>
      <w:r w:rsidRPr="004E0F02">
        <w:rPr>
          <w:rFonts w:eastAsia="Calibri" w:cs="Times New Roman"/>
          <w:szCs w:val="24"/>
          <w:lang w:eastAsia="en-US"/>
        </w:rPr>
        <w:t>której zainteresowany zamierza wykorzystywać informacje na warunkach innych niż to określił podmiot zobowiązany.</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takim przypadku zachodzi potrzeba złożenia wniosku </w:t>
      </w:r>
      <w:r w:rsidR="008E300A" w:rsidRPr="004E0F02">
        <w:rPr>
          <w:rFonts w:eastAsia="Calibri" w:cs="Times New Roman"/>
          <w:szCs w:val="24"/>
          <w:lang w:eastAsia="en-US"/>
        </w:rPr>
        <w:t xml:space="preserve">o ponowne wykorzystywanie (rozdział 9 projektu ustawy). </w:t>
      </w:r>
    </w:p>
    <w:p w14:paraId="34CD9852" w14:textId="19DC96E0"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w:t>
      </w:r>
      <w:r w:rsidR="00E45B1D" w:rsidRPr="004E0F02">
        <w:rPr>
          <w:rFonts w:eastAsia="Calibri" w:cs="Times New Roman"/>
          <w:szCs w:val="24"/>
          <w:lang w:eastAsia="en-US"/>
        </w:rPr>
        <w:t xml:space="preserve"> z art. </w:t>
      </w:r>
      <w:r w:rsidRPr="004E0F02">
        <w:rPr>
          <w:rFonts w:eastAsia="Calibri" w:cs="Times New Roman"/>
          <w:szCs w:val="24"/>
          <w:lang w:eastAsia="en-US"/>
        </w:rPr>
        <w:t>1</w:t>
      </w:r>
      <w:r w:rsidR="00E45B1D" w:rsidRPr="004E0F02">
        <w:rPr>
          <w:rFonts w:eastAsia="Calibri" w:cs="Times New Roman"/>
          <w:szCs w:val="24"/>
          <w:lang w:eastAsia="en-US"/>
        </w:rPr>
        <w:t>1 ust. 5 </w:t>
      </w:r>
      <w:r w:rsidRPr="004E0F02">
        <w:rPr>
          <w:rFonts w:eastAsia="Calibri" w:cs="Times New Roman"/>
          <w:szCs w:val="24"/>
          <w:lang w:eastAsia="en-US"/>
        </w:rPr>
        <w:t>projektu ustawy brak odpowiednich informacji</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menu przedmiotowym strony podmiotowej BIP podmiotu zobowiązanego (w kategorii </w:t>
      </w:r>
      <w:r w:rsidR="00E45B1D" w:rsidRPr="004E0F02">
        <w:rPr>
          <w:rFonts w:eastAsia="Calibri" w:cs="Times New Roman"/>
          <w:szCs w:val="24"/>
          <w:lang w:eastAsia="en-US"/>
        </w:rPr>
        <w:t>„</w:t>
      </w:r>
      <w:r w:rsidRPr="004E0F02">
        <w:rPr>
          <w:rFonts w:eastAsia="Calibri" w:cs="Times New Roman"/>
          <w:szCs w:val="24"/>
          <w:lang w:eastAsia="en-US"/>
        </w:rPr>
        <w:t>Ponowne wykorzystywanie</w:t>
      </w:r>
      <w:r w:rsidR="00E45B1D" w:rsidRPr="004E0F02">
        <w:rPr>
          <w:rFonts w:eastAsia="Calibri" w:cs="Times New Roman"/>
          <w:szCs w:val="24"/>
          <w:lang w:eastAsia="en-US"/>
        </w:rPr>
        <w:t>”</w:t>
      </w:r>
      <w:r w:rsidRPr="004E0F02">
        <w:rPr>
          <w:rFonts w:eastAsia="Calibri" w:cs="Times New Roman"/>
          <w:szCs w:val="24"/>
          <w:lang w:eastAsia="en-US"/>
        </w:rPr>
        <w:t>) dla informacji udostępnianych</w:t>
      </w:r>
      <w:r w:rsidR="00E45B1D" w:rsidRPr="004E0F02">
        <w:rPr>
          <w:rFonts w:eastAsia="Calibri" w:cs="Times New Roman"/>
          <w:szCs w:val="24"/>
          <w:lang w:eastAsia="en-US"/>
        </w:rPr>
        <w:t xml:space="preserve"> w </w:t>
      </w:r>
      <w:r w:rsidRPr="004E0F02">
        <w:rPr>
          <w:rFonts w:eastAsia="Calibri" w:cs="Times New Roman"/>
          <w:szCs w:val="24"/>
          <w:lang w:eastAsia="en-US"/>
        </w:rPr>
        <w:t>Biuletynie,</w:t>
      </w:r>
      <w:r w:rsidR="00E45B1D" w:rsidRPr="004E0F02">
        <w:rPr>
          <w:rFonts w:eastAsia="Calibri" w:cs="Times New Roman"/>
          <w:szCs w:val="24"/>
          <w:lang w:eastAsia="en-US"/>
        </w:rPr>
        <w:t xml:space="preserve"> a </w:t>
      </w:r>
      <w:r w:rsidRPr="004E0F02">
        <w:rPr>
          <w:rFonts w:eastAsia="Calibri" w:cs="Times New Roman"/>
          <w:szCs w:val="24"/>
          <w:lang w:eastAsia="en-US"/>
        </w:rPr>
        <w:t>także brak wskazania warunków</w:t>
      </w:r>
      <w:r w:rsidR="00E45B1D" w:rsidRPr="004E0F02">
        <w:rPr>
          <w:rFonts w:eastAsia="Calibri" w:cs="Times New Roman"/>
          <w:szCs w:val="24"/>
          <w:lang w:eastAsia="en-US"/>
        </w:rPr>
        <w:t xml:space="preserve"> w </w:t>
      </w:r>
      <w:r w:rsidRPr="004E0F02">
        <w:rPr>
          <w:rFonts w:eastAsia="Calibri" w:cs="Times New Roman"/>
          <w:szCs w:val="24"/>
          <w:lang w:eastAsia="en-US"/>
        </w:rPr>
        <w:t>przypadku udostępnienia informacji sektora publicznego na portalu danych uważa się za zgodę na ponowne wykorzystywanie udostępnianej informacji sektora publicznego bez ograniczeń warunkami (</w:t>
      </w:r>
      <w:r w:rsidR="008E300A" w:rsidRPr="004E0F02">
        <w:rPr>
          <w:rFonts w:eastAsia="Calibri" w:cs="Times New Roman"/>
          <w:szCs w:val="24"/>
          <w:lang w:eastAsia="en-US"/>
        </w:rPr>
        <w:t xml:space="preserve">udostępnianie </w:t>
      </w:r>
      <w:r w:rsidRPr="004E0F02">
        <w:rPr>
          <w:rFonts w:eastAsia="Calibri" w:cs="Times New Roman"/>
          <w:szCs w:val="24"/>
          <w:lang w:eastAsia="en-US"/>
        </w:rPr>
        <w:t>informacji sektora publicznego bez warunków).Takie rozwiązanie jest konsekwencją nałożenia</w:t>
      </w:r>
      <w:r w:rsidR="00E45B1D" w:rsidRPr="004E0F02">
        <w:rPr>
          <w:rFonts w:eastAsia="Calibri" w:cs="Times New Roman"/>
          <w:szCs w:val="24"/>
          <w:lang w:eastAsia="en-US"/>
        </w:rPr>
        <w:t xml:space="preserve"> w art. </w:t>
      </w:r>
      <w:r w:rsidRPr="004E0F02">
        <w:rPr>
          <w:rFonts w:eastAsia="Calibri" w:cs="Times New Roman"/>
          <w:szCs w:val="24"/>
          <w:lang w:eastAsia="en-US"/>
        </w:rPr>
        <w:t>1</w:t>
      </w:r>
      <w:r w:rsidR="00E45B1D" w:rsidRPr="004E0F02">
        <w:rPr>
          <w:rFonts w:eastAsia="Calibri" w:cs="Times New Roman"/>
          <w:szCs w:val="24"/>
          <w:lang w:eastAsia="en-US"/>
        </w:rPr>
        <w:t>1 ust. 1 pkt 1 </w:t>
      </w:r>
      <w:r w:rsidRPr="004E0F02">
        <w:rPr>
          <w:rFonts w:eastAsia="Calibri" w:cs="Times New Roman"/>
          <w:szCs w:val="24"/>
          <w:lang w:eastAsia="en-US"/>
        </w:rPr>
        <w:t>projektu ustawy na podmioty zobowiązane obowiązku udostępniania warunków ponownego wykorzystywania, jeżeli zostały przez nie określone.</w:t>
      </w:r>
    </w:p>
    <w:p w14:paraId="4E59514A" w14:textId="6C405426"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2 </w:t>
      </w:r>
      <w:r w:rsidRPr="004E0F02">
        <w:rPr>
          <w:rFonts w:eastAsia="Calibri" w:cs="Times New Roman"/>
          <w:szCs w:val="24"/>
          <w:lang w:eastAsia="en-US"/>
        </w:rPr>
        <w:t>projektu ustawy uregulowano materię dotyczącą oferty</w:t>
      </w:r>
      <w:r w:rsidR="00E45B1D" w:rsidRPr="004E0F02">
        <w:rPr>
          <w:rFonts w:eastAsia="Calibri" w:cs="Times New Roman"/>
          <w:szCs w:val="24"/>
          <w:lang w:eastAsia="en-US"/>
        </w:rPr>
        <w:t xml:space="preserve"> w </w:t>
      </w:r>
      <w:r w:rsidRPr="004E0F02">
        <w:rPr>
          <w:rFonts w:eastAsia="Calibri" w:cs="Times New Roman"/>
          <w:szCs w:val="24"/>
          <w:lang w:eastAsia="en-US"/>
        </w:rPr>
        <w:t>zakresie warunków ponownego wykorzystywania informacji sektora publicznego udostępnionych stronie podmiotowej BIP podmiotu zobowiązanego lub na portalu danych oraz oferty w</w:t>
      </w:r>
      <w:r w:rsidR="00DA6485" w:rsidRPr="004E0F02">
        <w:rPr>
          <w:rFonts w:eastAsia="Calibri" w:cs="Times New Roman"/>
          <w:szCs w:val="24"/>
          <w:lang w:eastAsia="en-US"/>
        </w:rPr>
        <w:t> </w:t>
      </w:r>
      <w:r w:rsidRPr="004E0F02">
        <w:rPr>
          <w:rFonts w:eastAsia="Calibri" w:cs="Times New Roman"/>
          <w:szCs w:val="24"/>
          <w:lang w:eastAsia="en-US"/>
        </w:rPr>
        <w:t>zakresie warunków ponownego wykorzystywania lub informacji</w:t>
      </w:r>
      <w:r w:rsidR="00E45B1D" w:rsidRPr="004E0F02">
        <w:rPr>
          <w:rFonts w:eastAsia="Calibri" w:cs="Times New Roman"/>
          <w:szCs w:val="24"/>
          <w:lang w:eastAsia="en-US"/>
        </w:rPr>
        <w:t xml:space="preserve"> o </w:t>
      </w:r>
      <w:r w:rsidRPr="004E0F02">
        <w:rPr>
          <w:rFonts w:eastAsia="Calibri" w:cs="Times New Roman"/>
          <w:szCs w:val="24"/>
          <w:lang w:eastAsia="en-US"/>
        </w:rPr>
        <w:t>wysokości opłat za</w:t>
      </w:r>
      <w:r w:rsidR="00DA6485" w:rsidRPr="004E0F02">
        <w:rPr>
          <w:rFonts w:eastAsia="Calibri" w:cs="Times New Roman"/>
          <w:szCs w:val="24"/>
          <w:lang w:eastAsia="en-US"/>
        </w:rPr>
        <w:t> </w:t>
      </w:r>
      <w:r w:rsidRPr="004E0F02">
        <w:rPr>
          <w:rFonts w:eastAsia="Calibri" w:cs="Times New Roman"/>
          <w:szCs w:val="24"/>
          <w:lang w:eastAsia="en-US"/>
        </w:rPr>
        <w:t>ponowne wykorzystywanie (jeżeli zostały ustalone) informacji sektora publicznego udostępnionych</w:t>
      </w:r>
      <w:r w:rsidR="00E45B1D" w:rsidRPr="004E0F02">
        <w:rPr>
          <w:rFonts w:eastAsia="Calibri" w:cs="Times New Roman"/>
          <w:szCs w:val="24"/>
          <w:lang w:eastAsia="en-US"/>
        </w:rPr>
        <w:t xml:space="preserve"> w </w:t>
      </w:r>
      <w:r w:rsidRPr="004E0F02">
        <w:rPr>
          <w:rFonts w:eastAsia="Calibri" w:cs="Times New Roman"/>
          <w:szCs w:val="24"/>
          <w:lang w:eastAsia="en-US"/>
        </w:rPr>
        <w:t>innym systemie teleinformatycznym (udostępnionych</w:t>
      </w:r>
      <w:r w:rsidR="00E45B1D" w:rsidRPr="004E0F02">
        <w:rPr>
          <w:rFonts w:eastAsia="Calibri" w:cs="Times New Roman"/>
          <w:szCs w:val="24"/>
          <w:lang w:eastAsia="en-US"/>
        </w:rPr>
        <w:t xml:space="preserve"> w </w:t>
      </w:r>
      <w:r w:rsidRPr="004E0F02">
        <w:rPr>
          <w:rFonts w:eastAsia="Calibri" w:cs="Times New Roman"/>
          <w:szCs w:val="24"/>
          <w:lang w:eastAsia="en-US"/>
        </w:rPr>
        <w:t>inny sposób niż w</w:t>
      </w:r>
      <w:r w:rsidR="00DA6485" w:rsidRPr="004E0F02">
        <w:rPr>
          <w:rFonts w:eastAsia="Calibri" w:cs="Times New Roman"/>
          <w:szCs w:val="24"/>
          <w:lang w:eastAsia="en-US"/>
        </w:rPr>
        <w:t> </w:t>
      </w:r>
      <w:r w:rsidRPr="004E0F02">
        <w:rPr>
          <w:rFonts w:eastAsia="Calibri" w:cs="Times New Roman"/>
          <w:szCs w:val="24"/>
          <w:lang w:eastAsia="en-US"/>
        </w:rPr>
        <w:t>BIP lub na portalu danych).</w:t>
      </w:r>
    </w:p>
    <w:p w14:paraId="53905302" w14:textId="19A0ED95" w:rsidR="00A42682" w:rsidRPr="004E0F02" w:rsidRDefault="008E300A"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 z a</w:t>
      </w:r>
      <w:r w:rsidR="00A42682" w:rsidRPr="004E0F02">
        <w:rPr>
          <w:rFonts w:eastAsia="Calibri" w:cs="Times New Roman"/>
          <w:szCs w:val="24"/>
          <w:lang w:eastAsia="en-US"/>
        </w:rPr>
        <w:t>rt. 1</w:t>
      </w:r>
      <w:r w:rsidR="00E45B1D" w:rsidRPr="004E0F02">
        <w:rPr>
          <w:rFonts w:eastAsia="Calibri" w:cs="Times New Roman"/>
          <w:szCs w:val="24"/>
          <w:lang w:eastAsia="en-US"/>
        </w:rPr>
        <w:t>3 ust. 1 </w:t>
      </w:r>
      <w:r w:rsidR="00A42682" w:rsidRPr="004E0F02">
        <w:rPr>
          <w:rFonts w:eastAsia="Calibri" w:cs="Times New Roman"/>
          <w:szCs w:val="24"/>
          <w:lang w:eastAsia="en-US"/>
        </w:rPr>
        <w:t xml:space="preserve">projektu </w:t>
      </w:r>
      <w:r w:rsidRPr="004E0F02">
        <w:rPr>
          <w:rFonts w:eastAsia="Calibri" w:cs="Times New Roman"/>
          <w:szCs w:val="24"/>
          <w:lang w:eastAsia="en-US"/>
        </w:rPr>
        <w:t xml:space="preserve">ustawy podmiot </w:t>
      </w:r>
      <w:r w:rsidR="00C74BD9" w:rsidRPr="004E0F02">
        <w:rPr>
          <w:rFonts w:eastAsia="Calibri" w:cs="Times New Roman"/>
          <w:szCs w:val="24"/>
          <w:lang w:eastAsia="en-US"/>
        </w:rPr>
        <w:t>zobowiązany zapewnia zgodność z </w:t>
      </w:r>
      <w:r w:rsidR="00A42682" w:rsidRPr="004E0F02">
        <w:rPr>
          <w:rFonts w:eastAsia="Calibri" w:cs="Times New Roman"/>
          <w:szCs w:val="24"/>
          <w:lang w:eastAsia="en-US"/>
        </w:rPr>
        <w:t xml:space="preserve">obowiązującymi przepisami, </w:t>
      </w:r>
      <w:r w:rsidR="00277C6F" w:rsidRPr="004E0F02">
        <w:rPr>
          <w:rFonts w:eastAsia="Calibri" w:cs="Times New Roman"/>
          <w:szCs w:val="24"/>
          <w:lang w:eastAsia="en-US"/>
        </w:rPr>
        <w:t>dostępnoś</w:t>
      </w:r>
      <w:r w:rsidR="00D71432" w:rsidRPr="004E0F02">
        <w:rPr>
          <w:rFonts w:eastAsia="Calibri" w:cs="Times New Roman"/>
          <w:szCs w:val="24"/>
          <w:lang w:eastAsia="en-US"/>
        </w:rPr>
        <w:t>ci</w:t>
      </w:r>
      <w:r w:rsidR="00277C6F" w:rsidRPr="004E0F02">
        <w:rPr>
          <w:rFonts w:eastAsia="Calibri" w:cs="Times New Roman"/>
          <w:szCs w:val="24"/>
          <w:lang w:eastAsia="en-US"/>
        </w:rPr>
        <w:t xml:space="preserve">, </w:t>
      </w:r>
      <w:r w:rsidR="00A42682" w:rsidRPr="004E0F02">
        <w:rPr>
          <w:rFonts w:eastAsia="Calibri" w:cs="Times New Roman"/>
          <w:szCs w:val="24"/>
          <w:lang w:eastAsia="en-US"/>
        </w:rPr>
        <w:t>poprawności, aktualności, kompletności oraz jakości</w:t>
      </w:r>
      <w:r w:rsidRPr="004E0F02">
        <w:rPr>
          <w:rFonts w:eastAsia="Calibri" w:cs="Times New Roman"/>
          <w:szCs w:val="24"/>
          <w:lang w:eastAsia="en-US"/>
        </w:rPr>
        <w:t xml:space="preserve"> informacji sektora publicznego, które udostępnia lub przekazuje w celu ponownego wykorzystywania</w:t>
      </w:r>
      <w:r w:rsidR="00A42682" w:rsidRPr="004E0F02">
        <w:rPr>
          <w:rFonts w:eastAsia="Calibri" w:cs="Times New Roman"/>
          <w:szCs w:val="24"/>
          <w:lang w:eastAsia="en-US"/>
        </w:rPr>
        <w:t>.</w:t>
      </w:r>
      <w:r w:rsidR="00E45B1D" w:rsidRPr="004E0F02">
        <w:rPr>
          <w:rFonts w:eastAsia="Calibri" w:cs="Times New Roman"/>
          <w:szCs w:val="24"/>
          <w:lang w:eastAsia="en-US"/>
        </w:rPr>
        <w:t xml:space="preserve"> W </w:t>
      </w:r>
      <w:r w:rsidR="00A42682" w:rsidRPr="004E0F02">
        <w:rPr>
          <w:rFonts w:eastAsia="Calibri" w:cs="Times New Roman"/>
          <w:szCs w:val="24"/>
          <w:lang w:eastAsia="en-US"/>
        </w:rPr>
        <w:t>myśl tej zasady podmiot zobowiązany powinien zadbać</w:t>
      </w:r>
      <w:r w:rsidR="00E45B1D" w:rsidRPr="004E0F02">
        <w:rPr>
          <w:rFonts w:eastAsia="Calibri" w:cs="Times New Roman"/>
          <w:szCs w:val="24"/>
          <w:lang w:eastAsia="en-US"/>
        </w:rPr>
        <w:t xml:space="preserve"> o </w:t>
      </w:r>
      <w:r w:rsidR="00A42682" w:rsidRPr="004E0F02">
        <w:rPr>
          <w:rFonts w:eastAsia="Calibri" w:cs="Times New Roman"/>
          <w:szCs w:val="24"/>
          <w:lang w:eastAsia="en-US"/>
        </w:rPr>
        <w:t>zgodność udostępnianych lub przekazywanych treści</w:t>
      </w:r>
      <w:r w:rsidR="00E45B1D" w:rsidRPr="004E0F02">
        <w:rPr>
          <w:rFonts w:eastAsia="Calibri" w:cs="Times New Roman"/>
          <w:szCs w:val="24"/>
          <w:lang w:eastAsia="en-US"/>
        </w:rPr>
        <w:t xml:space="preserve"> z </w:t>
      </w:r>
      <w:r w:rsidR="00A42682" w:rsidRPr="004E0F02">
        <w:rPr>
          <w:rFonts w:eastAsia="Calibri" w:cs="Times New Roman"/>
          <w:szCs w:val="24"/>
          <w:lang w:eastAsia="en-US"/>
        </w:rPr>
        <w:t>właściwymi przepisami prawa oraz dołożyć wszelkich starań, aby dane te były poprawne (prawidłowe i</w:t>
      </w:r>
      <w:r w:rsidR="00DA6485" w:rsidRPr="004E0F02">
        <w:rPr>
          <w:rFonts w:eastAsia="Calibri" w:cs="Times New Roman"/>
          <w:szCs w:val="24"/>
          <w:lang w:eastAsia="en-US"/>
        </w:rPr>
        <w:t> </w:t>
      </w:r>
      <w:r w:rsidR="00A42682" w:rsidRPr="004E0F02">
        <w:rPr>
          <w:rFonts w:eastAsia="Calibri" w:cs="Times New Roman"/>
          <w:szCs w:val="24"/>
          <w:lang w:eastAsia="en-US"/>
        </w:rPr>
        <w:t>zgodne</w:t>
      </w:r>
      <w:r w:rsidR="00E45B1D" w:rsidRPr="004E0F02">
        <w:rPr>
          <w:rFonts w:eastAsia="Calibri" w:cs="Times New Roman"/>
          <w:szCs w:val="24"/>
          <w:lang w:eastAsia="en-US"/>
        </w:rPr>
        <w:t xml:space="preserve"> z </w:t>
      </w:r>
      <w:r w:rsidR="00A42682" w:rsidRPr="004E0F02">
        <w:rPr>
          <w:rFonts w:eastAsia="Calibri" w:cs="Times New Roman"/>
          <w:szCs w:val="24"/>
          <w:lang w:eastAsia="en-US"/>
        </w:rPr>
        <w:t xml:space="preserve">faktami). </w:t>
      </w:r>
      <w:r w:rsidRPr="004E0F02">
        <w:rPr>
          <w:rFonts w:eastAsia="Calibri" w:cs="Times New Roman"/>
          <w:szCs w:val="24"/>
          <w:lang w:eastAsia="en-US"/>
        </w:rPr>
        <w:t xml:space="preserve">Zapewnienie dostępności </w:t>
      </w:r>
      <w:r w:rsidR="00D71432" w:rsidRPr="004E0F02">
        <w:rPr>
          <w:rFonts w:eastAsia="Calibri" w:cs="Times New Roman"/>
          <w:szCs w:val="24"/>
          <w:lang w:eastAsia="en-US"/>
        </w:rPr>
        <w:t>informacji sektora publicznego</w:t>
      </w:r>
      <w:r w:rsidR="00E45B1D" w:rsidRPr="004E0F02">
        <w:rPr>
          <w:rFonts w:eastAsia="Calibri" w:cs="Times New Roman"/>
          <w:szCs w:val="24"/>
          <w:lang w:eastAsia="en-US"/>
        </w:rPr>
        <w:t xml:space="preserve"> w </w:t>
      </w:r>
      <w:r w:rsidR="00D71432" w:rsidRPr="004E0F02">
        <w:rPr>
          <w:rFonts w:eastAsia="Calibri" w:cs="Times New Roman"/>
          <w:szCs w:val="24"/>
          <w:lang w:eastAsia="en-US"/>
        </w:rPr>
        <w:t>powyższym rozumieniu oznacza konieczność zapewnienia terminowego</w:t>
      </w:r>
      <w:r w:rsidR="00E45B1D" w:rsidRPr="004E0F02">
        <w:rPr>
          <w:rFonts w:eastAsia="Calibri" w:cs="Times New Roman"/>
          <w:szCs w:val="24"/>
          <w:lang w:eastAsia="en-US"/>
        </w:rPr>
        <w:t xml:space="preserve"> i </w:t>
      </w:r>
      <w:r w:rsidR="00D71432" w:rsidRPr="004E0F02">
        <w:rPr>
          <w:rFonts w:eastAsia="Calibri" w:cs="Times New Roman"/>
          <w:szCs w:val="24"/>
          <w:lang w:eastAsia="en-US"/>
        </w:rPr>
        <w:t xml:space="preserve">niezawodnego dostępu do </w:t>
      </w:r>
      <w:r w:rsidR="003500FB" w:rsidRPr="004E0F02">
        <w:rPr>
          <w:rFonts w:eastAsia="Calibri" w:cs="Times New Roman"/>
          <w:szCs w:val="24"/>
          <w:lang w:eastAsia="en-US"/>
        </w:rPr>
        <w:t>udostępnianych lub przekazywanych informacji oraz</w:t>
      </w:r>
      <w:r w:rsidR="00D71432" w:rsidRPr="004E0F02">
        <w:rPr>
          <w:rFonts w:eastAsia="Calibri" w:cs="Times New Roman"/>
          <w:szCs w:val="24"/>
          <w:lang w:eastAsia="en-US"/>
        </w:rPr>
        <w:t xml:space="preserve"> możliwości ich wykorzystywania. Zapewnienie dostępności informacji sektora publicznego </w:t>
      </w:r>
      <w:r w:rsidR="00697F09" w:rsidRPr="004E0F02">
        <w:rPr>
          <w:rFonts w:eastAsia="Calibri" w:cs="Times New Roman"/>
          <w:szCs w:val="24"/>
          <w:lang w:eastAsia="en-US"/>
        </w:rPr>
        <w:t>nabiera szczególnego znaczenia</w:t>
      </w:r>
      <w:r w:rsidR="00E45B1D" w:rsidRPr="004E0F02">
        <w:rPr>
          <w:rFonts w:eastAsia="Calibri" w:cs="Times New Roman"/>
          <w:szCs w:val="24"/>
          <w:lang w:eastAsia="en-US"/>
        </w:rPr>
        <w:t xml:space="preserve"> w </w:t>
      </w:r>
      <w:r w:rsidR="00697F09" w:rsidRPr="004E0F02">
        <w:rPr>
          <w:rFonts w:eastAsia="Calibri" w:cs="Times New Roman"/>
          <w:szCs w:val="24"/>
          <w:lang w:eastAsia="en-US"/>
        </w:rPr>
        <w:t xml:space="preserve">przypadku udostępniania danych przez API. </w:t>
      </w:r>
      <w:r w:rsidR="00A42682" w:rsidRPr="004E0F02">
        <w:rPr>
          <w:rFonts w:eastAsia="Calibri" w:cs="Times New Roman"/>
          <w:szCs w:val="24"/>
          <w:lang w:eastAsia="en-US"/>
        </w:rPr>
        <w:t>Przez zapewnienie aktualności danych należy</w:t>
      </w:r>
      <w:r w:rsidR="00E45B1D" w:rsidRPr="004E0F02">
        <w:rPr>
          <w:rFonts w:eastAsia="Calibri" w:cs="Times New Roman"/>
          <w:szCs w:val="24"/>
          <w:lang w:eastAsia="en-US"/>
        </w:rPr>
        <w:t xml:space="preserve"> z </w:t>
      </w:r>
      <w:r w:rsidR="00A42682" w:rsidRPr="004E0F02">
        <w:rPr>
          <w:rFonts w:eastAsia="Calibri" w:cs="Times New Roman"/>
          <w:szCs w:val="24"/>
          <w:lang w:eastAsia="en-US"/>
        </w:rPr>
        <w:t>kolei rozumieć udostępnianie najnowszych i</w:t>
      </w:r>
      <w:r w:rsidR="00DA6485" w:rsidRPr="004E0F02">
        <w:rPr>
          <w:rFonts w:eastAsia="Calibri" w:cs="Times New Roman"/>
          <w:szCs w:val="24"/>
          <w:lang w:eastAsia="en-US"/>
        </w:rPr>
        <w:t> </w:t>
      </w:r>
      <w:r w:rsidR="00A42682" w:rsidRPr="004E0F02">
        <w:rPr>
          <w:rFonts w:eastAsia="Calibri" w:cs="Times New Roman"/>
          <w:szCs w:val="24"/>
          <w:lang w:eastAsia="en-US"/>
        </w:rPr>
        <w:t>bieżąco aktualizowanych informacji sektora publicznego, niezwłocznie po ich wytworzeniu lub pozyskaniu,</w:t>
      </w:r>
      <w:r w:rsidR="00E45B1D" w:rsidRPr="004E0F02">
        <w:rPr>
          <w:rFonts w:eastAsia="Calibri" w:cs="Times New Roman"/>
          <w:szCs w:val="24"/>
          <w:lang w:eastAsia="en-US"/>
        </w:rPr>
        <w:t xml:space="preserve"> w </w:t>
      </w:r>
      <w:r w:rsidR="00A42682" w:rsidRPr="004E0F02">
        <w:rPr>
          <w:rFonts w:eastAsia="Calibri" w:cs="Times New Roman"/>
          <w:szCs w:val="24"/>
          <w:lang w:eastAsia="en-US"/>
        </w:rPr>
        <w:t>terminach dostosowywanych do rodzaju danych i dynamiki ich zmian wraz</w:t>
      </w:r>
      <w:r w:rsidR="00E45B1D" w:rsidRPr="004E0F02">
        <w:rPr>
          <w:rFonts w:eastAsia="Calibri" w:cs="Times New Roman"/>
          <w:szCs w:val="24"/>
          <w:lang w:eastAsia="en-US"/>
        </w:rPr>
        <w:t xml:space="preserve"> z </w:t>
      </w:r>
      <w:r w:rsidR="00A42682" w:rsidRPr="004E0F02">
        <w:rPr>
          <w:rFonts w:eastAsia="Calibri" w:cs="Times New Roman"/>
          <w:szCs w:val="24"/>
          <w:lang w:eastAsia="en-US"/>
        </w:rPr>
        <w:t>oznaczeniem daty udostępnienia danych, daty ostatniej aktualizacji danych oraz informacji o</w:t>
      </w:r>
      <w:r w:rsidR="00DA6485" w:rsidRPr="004E0F02">
        <w:rPr>
          <w:rFonts w:eastAsia="Calibri" w:cs="Times New Roman"/>
          <w:szCs w:val="24"/>
          <w:lang w:eastAsia="en-US"/>
        </w:rPr>
        <w:t> </w:t>
      </w:r>
      <w:r w:rsidR="00A42682" w:rsidRPr="004E0F02">
        <w:rPr>
          <w:rFonts w:eastAsia="Calibri" w:cs="Times New Roman"/>
          <w:szCs w:val="24"/>
          <w:lang w:eastAsia="en-US"/>
        </w:rPr>
        <w:t>częstotliwości aktualizacji danych. Dane kompletne to dane udostępniane lub przekazywane</w:t>
      </w:r>
      <w:r w:rsidR="00E45B1D" w:rsidRPr="004E0F02">
        <w:rPr>
          <w:rFonts w:eastAsia="Calibri" w:cs="Times New Roman"/>
          <w:szCs w:val="24"/>
          <w:lang w:eastAsia="en-US"/>
        </w:rPr>
        <w:t xml:space="preserve"> w </w:t>
      </w:r>
      <w:r w:rsidR="00A42682" w:rsidRPr="004E0F02">
        <w:rPr>
          <w:rFonts w:eastAsia="Calibri" w:cs="Times New Roman"/>
          <w:szCs w:val="24"/>
          <w:lang w:eastAsia="en-US"/>
        </w:rPr>
        <w:t>całości, bez wyłączania poszczególnych części danych</w:t>
      </w:r>
      <w:r w:rsidR="00E45B1D" w:rsidRPr="004E0F02">
        <w:rPr>
          <w:rFonts w:eastAsia="Calibri" w:cs="Times New Roman"/>
          <w:szCs w:val="24"/>
          <w:lang w:eastAsia="en-US"/>
        </w:rPr>
        <w:t xml:space="preserve"> i </w:t>
      </w:r>
      <w:r w:rsidR="00A42682" w:rsidRPr="004E0F02">
        <w:rPr>
          <w:rFonts w:eastAsia="Calibri" w:cs="Times New Roman"/>
          <w:szCs w:val="24"/>
          <w:lang w:eastAsia="en-US"/>
        </w:rPr>
        <w:t>zgodne ze stanem faktycznym. Ewentualne wyłączenie niektórych informacji jest możliwe jedynie, kiedy wymagają tego przepisy prawa (np. część danych podlega anonimizacji ze względu na ochronę danych osobowych), a dysponent danych poinformuje</w:t>
      </w:r>
      <w:r w:rsidR="00E45B1D" w:rsidRPr="004E0F02">
        <w:rPr>
          <w:rFonts w:eastAsia="Calibri" w:cs="Times New Roman"/>
          <w:szCs w:val="24"/>
          <w:lang w:eastAsia="en-US"/>
        </w:rPr>
        <w:t xml:space="preserve"> o </w:t>
      </w:r>
      <w:r w:rsidR="00A42682" w:rsidRPr="004E0F02">
        <w:rPr>
          <w:rFonts w:eastAsia="Calibri" w:cs="Times New Roman"/>
          <w:szCs w:val="24"/>
          <w:lang w:eastAsia="en-US"/>
        </w:rPr>
        <w:t xml:space="preserve">przyczynach wyłączenia. Jakość </w:t>
      </w:r>
      <w:r w:rsidR="00A42682" w:rsidRPr="004E0F02">
        <w:rPr>
          <w:rFonts w:eastAsia="Calibri" w:cs="Times New Roman"/>
          <w:szCs w:val="24"/>
          <w:lang w:eastAsia="en-US"/>
        </w:rPr>
        <w:lastRenderedPageBreak/>
        <w:t>udostępnianych lub przekazywanych treści należy zapewnić poprzez ich właściwe opracowanie pod względem merytorycznych oraz technicznym (zgodność</w:t>
      </w:r>
      <w:r w:rsidR="00E45B1D" w:rsidRPr="004E0F02">
        <w:rPr>
          <w:rFonts w:eastAsia="Calibri" w:cs="Times New Roman"/>
          <w:szCs w:val="24"/>
          <w:lang w:eastAsia="en-US"/>
        </w:rPr>
        <w:t xml:space="preserve"> z </w:t>
      </w:r>
      <w:r w:rsidR="00A42682" w:rsidRPr="004E0F02">
        <w:rPr>
          <w:rFonts w:eastAsia="Calibri" w:cs="Times New Roman"/>
          <w:szCs w:val="24"/>
          <w:lang w:eastAsia="en-US"/>
        </w:rPr>
        <w:t>obowiązującymi standardami technicznymi).</w:t>
      </w:r>
    </w:p>
    <w:p w14:paraId="62CD465F" w14:textId="15BAF432" w:rsidR="00A42682" w:rsidRPr="004E0F02" w:rsidRDefault="00A42682" w:rsidP="006B4013">
      <w:pPr>
        <w:widowControl/>
        <w:spacing w:after="120" w:line="276" w:lineRule="auto"/>
        <w:jc w:val="both"/>
        <w:rPr>
          <w:rFonts w:eastAsia="Calibri" w:cs="Times New Roman"/>
          <w:szCs w:val="24"/>
          <w:lang w:eastAsia="en-US"/>
        </w:rPr>
      </w:pPr>
      <w:r w:rsidRPr="004E0F02">
        <w:rPr>
          <w:rFonts w:eastAsia="Calibri" w:cs="Times New Roman"/>
          <w:szCs w:val="24"/>
          <w:lang w:eastAsia="en-US"/>
        </w:rPr>
        <w:t>W</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3 ust. 2 </w:t>
      </w:r>
      <w:r w:rsidRPr="004E0F02">
        <w:rPr>
          <w:rFonts w:eastAsia="Calibri" w:cs="Times New Roman"/>
          <w:szCs w:val="24"/>
          <w:lang w:eastAsia="en-US"/>
        </w:rPr>
        <w:t>wprowadzono dodatkowo zasadę, zgodnie</w:t>
      </w:r>
      <w:r w:rsidR="00E45B1D" w:rsidRPr="004E0F02">
        <w:rPr>
          <w:rFonts w:eastAsia="Calibri" w:cs="Times New Roman"/>
          <w:szCs w:val="24"/>
          <w:lang w:eastAsia="en-US"/>
        </w:rPr>
        <w:t xml:space="preserve"> z </w:t>
      </w:r>
      <w:r w:rsidRPr="004E0F02">
        <w:rPr>
          <w:rFonts w:eastAsia="Calibri" w:cs="Times New Roman"/>
          <w:szCs w:val="24"/>
          <w:lang w:eastAsia="en-US"/>
        </w:rPr>
        <w:t>którą podmiot zobowiązany publikuje w systemie teleinformatycznym,</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którym udostępnia informacje sektora publicznego </w:t>
      </w:r>
      <w:r w:rsidR="00635C0A" w:rsidRPr="004E0F02">
        <w:rPr>
          <w:rFonts w:eastAsia="Calibri" w:cs="Times New Roman"/>
          <w:szCs w:val="24"/>
          <w:lang w:eastAsia="en-US"/>
        </w:rPr>
        <w:t xml:space="preserve">w celu </w:t>
      </w:r>
      <w:r w:rsidRPr="004E0F02">
        <w:rPr>
          <w:rFonts w:eastAsia="Calibri" w:cs="Times New Roman"/>
          <w:szCs w:val="24"/>
          <w:lang w:eastAsia="en-US"/>
        </w:rPr>
        <w:t>ponownego wykorzystywania, informacje</w:t>
      </w:r>
      <w:r w:rsidR="00E45B1D" w:rsidRPr="004E0F02">
        <w:rPr>
          <w:rFonts w:eastAsia="Calibri" w:cs="Times New Roman"/>
          <w:szCs w:val="24"/>
          <w:lang w:eastAsia="en-US"/>
        </w:rPr>
        <w:t xml:space="preserve"> o </w:t>
      </w:r>
      <w:r w:rsidRPr="004E0F02">
        <w:rPr>
          <w:rFonts w:eastAsia="Calibri" w:cs="Times New Roman"/>
          <w:szCs w:val="24"/>
          <w:lang w:eastAsia="en-US"/>
        </w:rPr>
        <w:t>zaprzestaniu udostępniania lub aktualizowania takich informacji</w:t>
      </w:r>
      <w:r w:rsidR="006B4013" w:rsidRPr="004E0F02">
        <w:rPr>
          <w:rFonts w:eastAsia="Calibri" w:cs="Times New Roman"/>
          <w:szCs w:val="24"/>
          <w:lang w:eastAsia="en-US"/>
        </w:rPr>
        <w:t xml:space="preserve"> oraz informacje dotyczące dostępności informacji sektora publicznego udostępnianych za pośrednictwem API,</w:t>
      </w:r>
      <w:r w:rsidR="00E45B1D" w:rsidRPr="004E0F02">
        <w:rPr>
          <w:rFonts w:eastAsia="Calibri" w:cs="Times New Roman"/>
          <w:szCs w:val="24"/>
          <w:lang w:eastAsia="en-US"/>
        </w:rPr>
        <w:t xml:space="preserve"> w </w:t>
      </w:r>
      <w:r w:rsidR="006B4013" w:rsidRPr="004E0F02">
        <w:rPr>
          <w:rFonts w:eastAsia="Calibri" w:cs="Times New Roman"/>
          <w:szCs w:val="24"/>
          <w:lang w:eastAsia="en-US"/>
        </w:rPr>
        <w:t>tym</w:t>
      </w:r>
      <w:r w:rsidR="00E45B1D" w:rsidRPr="004E0F02">
        <w:rPr>
          <w:rFonts w:eastAsia="Calibri" w:cs="Times New Roman"/>
          <w:szCs w:val="24"/>
          <w:lang w:eastAsia="en-US"/>
        </w:rPr>
        <w:t xml:space="preserve"> w </w:t>
      </w:r>
      <w:r w:rsidR="006B4013" w:rsidRPr="004E0F02">
        <w:rPr>
          <w:rFonts w:eastAsia="Calibri" w:cs="Times New Roman"/>
          <w:szCs w:val="24"/>
          <w:lang w:eastAsia="en-US"/>
        </w:rPr>
        <w:t>szczególności danych dynamicznych.</w:t>
      </w:r>
      <w:r w:rsidRPr="004E0F02">
        <w:rPr>
          <w:rFonts w:eastAsia="Calibri" w:cs="Times New Roman"/>
          <w:szCs w:val="24"/>
          <w:lang w:eastAsia="en-US"/>
        </w:rPr>
        <w:t xml:space="preserve"> Przepis ten wiązać należy</w:t>
      </w:r>
      <w:r w:rsidR="00E45B1D" w:rsidRPr="004E0F02">
        <w:rPr>
          <w:rFonts w:eastAsia="Calibri" w:cs="Times New Roman"/>
          <w:szCs w:val="24"/>
          <w:lang w:eastAsia="en-US"/>
        </w:rPr>
        <w:t xml:space="preserve"> w </w:t>
      </w:r>
      <w:r w:rsidR="002C73AA" w:rsidRPr="004E0F02">
        <w:rPr>
          <w:rFonts w:eastAsia="Calibri" w:cs="Times New Roman"/>
          <w:szCs w:val="24"/>
          <w:lang w:eastAsia="en-US"/>
        </w:rPr>
        <w:t>pierwszej kolejności</w:t>
      </w:r>
      <w:r w:rsidR="00E45B1D" w:rsidRPr="004E0F02">
        <w:rPr>
          <w:rFonts w:eastAsia="Calibri" w:cs="Times New Roman"/>
          <w:szCs w:val="24"/>
          <w:lang w:eastAsia="en-US"/>
        </w:rPr>
        <w:t xml:space="preserve"> z </w:t>
      </w:r>
      <w:r w:rsidRPr="004E0F02">
        <w:rPr>
          <w:rFonts w:eastAsia="Calibri" w:cs="Times New Roman"/>
          <w:szCs w:val="24"/>
          <w:lang w:eastAsia="en-US"/>
        </w:rPr>
        <w:t>motywem 4</w:t>
      </w:r>
      <w:r w:rsidR="00E45B1D" w:rsidRPr="004E0F02">
        <w:rPr>
          <w:rFonts w:eastAsia="Calibri" w:cs="Times New Roman"/>
          <w:szCs w:val="24"/>
          <w:lang w:eastAsia="en-US"/>
        </w:rPr>
        <w:t>5 </w:t>
      </w:r>
      <w:r w:rsidRPr="004E0F02">
        <w:rPr>
          <w:rFonts w:eastAsia="Calibri" w:cs="Times New Roman"/>
          <w:szCs w:val="24"/>
          <w:lang w:eastAsia="en-US"/>
        </w:rPr>
        <w:t>preambuły dyrektywy 20149/1024/UE,</w:t>
      </w:r>
      <w:r w:rsidR="00E45B1D" w:rsidRPr="004E0F02">
        <w:rPr>
          <w:rFonts w:eastAsia="Calibri" w:cs="Times New Roman"/>
          <w:szCs w:val="24"/>
          <w:lang w:eastAsia="en-US"/>
        </w:rPr>
        <w:t xml:space="preserve"> w </w:t>
      </w:r>
      <w:r w:rsidRPr="004E0F02">
        <w:rPr>
          <w:rFonts w:eastAsia="Calibri" w:cs="Times New Roman"/>
          <w:szCs w:val="24"/>
          <w:lang w:eastAsia="en-US"/>
        </w:rPr>
        <w:t>którym podkreślono, że</w:t>
      </w:r>
      <w:r w:rsidR="00E45B1D" w:rsidRPr="004E0F02">
        <w:rPr>
          <w:rFonts w:eastAsia="Calibri" w:cs="Times New Roman"/>
          <w:szCs w:val="24"/>
          <w:lang w:eastAsia="en-US"/>
        </w:rPr>
        <w:t xml:space="preserve"> w </w:t>
      </w:r>
      <w:r w:rsidRPr="004E0F02">
        <w:rPr>
          <w:rFonts w:eastAsia="Calibri" w:cs="Times New Roman"/>
          <w:szCs w:val="24"/>
          <w:lang w:eastAsia="en-US"/>
        </w:rPr>
        <w:t>przypadku kiedy właściwe organy zdecydują</w:t>
      </w:r>
      <w:r w:rsidR="00E45B1D" w:rsidRPr="004E0F02">
        <w:rPr>
          <w:rFonts w:eastAsia="Calibri" w:cs="Times New Roman"/>
          <w:szCs w:val="24"/>
          <w:lang w:eastAsia="en-US"/>
        </w:rPr>
        <w:t xml:space="preserve"> o </w:t>
      </w:r>
      <w:r w:rsidRPr="004E0F02">
        <w:rPr>
          <w:rFonts w:eastAsia="Calibri" w:cs="Times New Roman"/>
          <w:szCs w:val="24"/>
          <w:lang w:eastAsia="en-US"/>
        </w:rPr>
        <w:t>zaprzestaniu udostępniania niektórych dokumentów do ponownego wykorzystywania lub przestaną te dokumenty aktualizować, decyzje te powinny być podawane do publicznej wiadomości jak najszybciej,</w:t>
      </w:r>
      <w:r w:rsidR="00E45B1D" w:rsidRPr="004E0F02">
        <w:rPr>
          <w:rFonts w:eastAsia="Calibri" w:cs="Times New Roman"/>
          <w:szCs w:val="24"/>
          <w:lang w:eastAsia="en-US"/>
        </w:rPr>
        <w:t xml:space="preserve"> w </w:t>
      </w:r>
      <w:r w:rsidRPr="004E0F02">
        <w:rPr>
          <w:rFonts w:eastAsia="Calibri" w:cs="Times New Roman"/>
          <w:szCs w:val="24"/>
          <w:lang w:eastAsia="en-US"/>
        </w:rPr>
        <w:t>miarę możliwości przy wykorzystaniu środków elektronicznych.</w:t>
      </w:r>
      <w:r w:rsidR="00C92F60" w:rsidRPr="004E0F02">
        <w:rPr>
          <w:rFonts w:eastAsia="Calibri" w:cs="Times New Roman"/>
          <w:szCs w:val="24"/>
          <w:lang w:eastAsia="en-US"/>
        </w:rPr>
        <w:t xml:space="preserve"> </w:t>
      </w:r>
      <w:r w:rsidR="002C73AA" w:rsidRPr="004E0F02">
        <w:rPr>
          <w:rFonts w:eastAsia="Calibri" w:cs="Times New Roman"/>
          <w:szCs w:val="24"/>
          <w:lang w:eastAsia="en-US"/>
        </w:rPr>
        <w:t>Oprócz tego o</w:t>
      </w:r>
      <w:r w:rsidR="00C92F60" w:rsidRPr="004E0F02">
        <w:rPr>
          <w:rFonts w:eastAsia="Calibri" w:cs="Times New Roman"/>
          <w:szCs w:val="24"/>
          <w:lang w:eastAsia="en-US"/>
        </w:rPr>
        <w:t xml:space="preserve">bowiązek informowania obejmuje również wymóg publikacji informacji dotyczących dostępności informacji sektora publicznego </w:t>
      </w:r>
      <w:r w:rsidR="002C73AA" w:rsidRPr="004E0F02">
        <w:rPr>
          <w:rFonts w:eastAsia="Calibri" w:cs="Times New Roman"/>
          <w:szCs w:val="24"/>
          <w:lang w:eastAsia="en-US"/>
        </w:rPr>
        <w:t>udostępnianych za </w:t>
      </w:r>
      <w:r w:rsidR="00C92F60" w:rsidRPr="004E0F02">
        <w:rPr>
          <w:rFonts w:eastAsia="Calibri" w:cs="Times New Roman"/>
          <w:szCs w:val="24"/>
          <w:lang w:eastAsia="en-US"/>
        </w:rPr>
        <w:t>pośrednictwem API</w:t>
      </w:r>
      <w:r w:rsidR="00102AE3" w:rsidRPr="004E0F02">
        <w:rPr>
          <w:rFonts w:eastAsia="Calibri" w:cs="Times New Roman"/>
          <w:szCs w:val="24"/>
          <w:lang w:eastAsia="en-US"/>
        </w:rPr>
        <w:t xml:space="preserve"> (w tym</w:t>
      </w:r>
      <w:r w:rsidR="00E45B1D" w:rsidRPr="004E0F02">
        <w:rPr>
          <w:rFonts w:eastAsia="Calibri" w:cs="Times New Roman"/>
          <w:szCs w:val="24"/>
          <w:lang w:eastAsia="en-US"/>
        </w:rPr>
        <w:t xml:space="preserve"> w </w:t>
      </w:r>
      <w:r w:rsidR="00102AE3" w:rsidRPr="004E0F02">
        <w:rPr>
          <w:rFonts w:eastAsia="Calibri" w:cs="Times New Roman"/>
          <w:szCs w:val="24"/>
          <w:lang w:eastAsia="en-US"/>
        </w:rPr>
        <w:t xml:space="preserve">szczególności danych dynamicznych). </w:t>
      </w:r>
      <w:r w:rsidR="002C73AA" w:rsidRPr="004E0F02">
        <w:rPr>
          <w:rFonts w:eastAsia="Calibri" w:cs="Times New Roman"/>
          <w:szCs w:val="24"/>
          <w:lang w:eastAsia="en-US"/>
        </w:rPr>
        <w:t>Stanowi to </w:t>
      </w:r>
      <w:r w:rsidR="00D4444C" w:rsidRPr="004E0F02">
        <w:rPr>
          <w:rFonts w:eastAsia="Calibri" w:cs="Times New Roman"/>
          <w:szCs w:val="24"/>
          <w:lang w:eastAsia="en-US"/>
        </w:rPr>
        <w:t>konsekwencję</w:t>
      </w:r>
      <w:r w:rsidR="00C92F60" w:rsidRPr="004E0F02">
        <w:rPr>
          <w:rFonts w:eastAsia="Calibri" w:cs="Times New Roman"/>
          <w:szCs w:val="24"/>
          <w:lang w:eastAsia="en-US"/>
        </w:rPr>
        <w:t xml:space="preserve"> zasady </w:t>
      </w:r>
      <w:r w:rsidR="00635C0A" w:rsidRPr="004E0F02">
        <w:rPr>
          <w:rFonts w:eastAsia="Calibri" w:cs="Times New Roman"/>
          <w:szCs w:val="24"/>
          <w:lang w:eastAsia="en-US"/>
        </w:rPr>
        <w:t xml:space="preserve">wyrażonej w </w:t>
      </w:r>
      <w:r w:rsidR="00C92F60" w:rsidRPr="004E0F02">
        <w:rPr>
          <w:rFonts w:eastAsia="Calibri" w:cs="Times New Roman"/>
          <w:szCs w:val="24"/>
          <w:lang w:eastAsia="en-US"/>
        </w:rPr>
        <w:t>art. 1</w:t>
      </w:r>
      <w:r w:rsidR="00E45B1D" w:rsidRPr="004E0F02">
        <w:rPr>
          <w:rFonts w:eastAsia="Calibri" w:cs="Times New Roman"/>
          <w:szCs w:val="24"/>
          <w:lang w:eastAsia="en-US"/>
        </w:rPr>
        <w:t>3 ust. 1 </w:t>
      </w:r>
      <w:r w:rsidR="00C92F60" w:rsidRPr="004E0F02">
        <w:rPr>
          <w:rFonts w:eastAsia="Calibri" w:cs="Times New Roman"/>
          <w:szCs w:val="24"/>
          <w:lang w:eastAsia="en-US"/>
        </w:rPr>
        <w:t xml:space="preserve">projektu ustawy. </w:t>
      </w:r>
    </w:p>
    <w:p w14:paraId="781191C3" w14:textId="77777777" w:rsidR="00A42682" w:rsidRPr="004E0F02" w:rsidRDefault="00A42682" w:rsidP="00A42682">
      <w:pPr>
        <w:widowControl/>
        <w:spacing w:after="120" w:line="276" w:lineRule="auto"/>
        <w:jc w:val="both"/>
        <w:rPr>
          <w:rFonts w:eastAsia="Calibri" w:cs="Times New Roman"/>
          <w:b/>
          <w:szCs w:val="24"/>
          <w:lang w:eastAsia="en-US"/>
        </w:rPr>
      </w:pPr>
      <w:r w:rsidRPr="004E0F02">
        <w:rPr>
          <w:rFonts w:eastAsia="Calibri" w:cs="Times New Roman"/>
          <w:b/>
          <w:szCs w:val="24"/>
          <w:lang w:eastAsia="en-US"/>
        </w:rPr>
        <w:t>Rozdział 3. Warunki ponownego wykorzystywania.</w:t>
      </w:r>
    </w:p>
    <w:p w14:paraId="5511CB38" w14:textId="3B128BCB"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Przepis</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4 ust. 1 </w:t>
      </w:r>
      <w:r w:rsidRPr="004E0F02">
        <w:rPr>
          <w:rFonts w:eastAsia="Calibri" w:cs="Times New Roman"/>
          <w:szCs w:val="24"/>
          <w:lang w:eastAsia="en-US"/>
        </w:rPr>
        <w:t>projektu ustawy formułuje generalną zasadę, zgodnie</w:t>
      </w:r>
      <w:r w:rsidR="00E45B1D" w:rsidRPr="004E0F02">
        <w:rPr>
          <w:rFonts w:eastAsia="Calibri" w:cs="Times New Roman"/>
          <w:szCs w:val="24"/>
          <w:lang w:eastAsia="en-US"/>
        </w:rPr>
        <w:t xml:space="preserve"> z </w:t>
      </w:r>
      <w:r w:rsidRPr="004E0F02">
        <w:rPr>
          <w:rFonts w:eastAsia="Calibri" w:cs="Times New Roman"/>
          <w:szCs w:val="24"/>
          <w:lang w:eastAsia="en-US"/>
        </w:rPr>
        <w:t>którą udostępnianie lub przekazywanie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celu jej ponownego wykorzystywania dokonuje się bez określenia warunków ponownego wykorzystywania (dane udostępnia się lub przekazuje co do zasady bezwarunkowo).</w:t>
      </w:r>
    </w:p>
    <w:p w14:paraId="6090FAE5" w14:textId="527EE5F2" w:rsidR="00EF1F5B"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Niezależnie od generalnej zasady wskazanej powyżej, podmiot zobowiązany określa, na</w:t>
      </w:r>
      <w:r w:rsidR="002C73AA" w:rsidRPr="004E0F02">
        <w:rPr>
          <w:rFonts w:eastAsia="Calibri" w:cs="Times New Roman"/>
          <w:szCs w:val="24"/>
          <w:lang w:eastAsia="en-US"/>
        </w:rPr>
        <w:t> </w:t>
      </w:r>
      <w:r w:rsidRPr="004E0F02">
        <w:rPr>
          <w:rFonts w:eastAsia="Calibri" w:cs="Times New Roman"/>
          <w:szCs w:val="24"/>
          <w:lang w:eastAsia="en-US"/>
        </w:rPr>
        <w:t>podstawie</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4 ust. 2 </w:t>
      </w:r>
      <w:r w:rsidRPr="004E0F02">
        <w:rPr>
          <w:rFonts w:eastAsia="Calibri" w:cs="Times New Roman"/>
          <w:szCs w:val="24"/>
          <w:lang w:eastAsia="en-US"/>
        </w:rPr>
        <w:t>projektu ustawy, warunki ponownego wykorzystywania informacji sektora publicznego, mających cechy utworu lub przedmiotu praw pokrewnych</w:t>
      </w:r>
      <w:r w:rsidR="00E45B1D" w:rsidRPr="004E0F02">
        <w:rPr>
          <w:rFonts w:eastAsia="Calibri" w:cs="Times New Roman"/>
          <w:szCs w:val="24"/>
          <w:lang w:eastAsia="en-US"/>
        </w:rPr>
        <w:t xml:space="preserve"> w </w:t>
      </w:r>
      <w:r w:rsidRPr="004E0F02">
        <w:rPr>
          <w:rFonts w:eastAsia="Calibri" w:cs="Times New Roman"/>
          <w:szCs w:val="24"/>
          <w:lang w:eastAsia="en-US"/>
        </w:rPr>
        <w:t>rozumieniu przepisów ustawy</w:t>
      </w:r>
      <w:r w:rsidR="00E45B1D" w:rsidRPr="004E0F02">
        <w:rPr>
          <w:rFonts w:eastAsia="Calibri" w:cs="Times New Roman"/>
          <w:szCs w:val="24"/>
          <w:lang w:eastAsia="en-US"/>
        </w:rPr>
        <w:t xml:space="preserve"> o </w:t>
      </w:r>
      <w:r w:rsidRPr="004E0F02">
        <w:rPr>
          <w:rFonts w:eastAsia="Calibri" w:cs="Times New Roman"/>
          <w:szCs w:val="24"/>
          <w:lang w:eastAsia="en-US"/>
        </w:rPr>
        <w:t>prawie autorskim</w:t>
      </w:r>
      <w:r w:rsidR="00E45B1D" w:rsidRPr="004E0F02">
        <w:rPr>
          <w:rFonts w:eastAsia="Calibri" w:cs="Times New Roman"/>
          <w:szCs w:val="24"/>
          <w:lang w:eastAsia="en-US"/>
        </w:rPr>
        <w:t xml:space="preserve"> i </w:t>
      </w:r>
      <w:r w:rsidRPr="004E0F02">
        <w:rPr>
          <w:rFonts w:eastAsia="Calibri" w:cs="Times New Roman"/>
          <w:szCs w:val="24"/>
          <w:lang w:eastAsia="en-US"/>
        </w:rPr>
        <w:t>prawach pokrewnych lub stanowiących bazę danych w</w:t>
      </w:r>
      <w:r w:rsidR="002C73AA" w:rsidRPr="004E0F02">
        <w:rPr>
          <w:rFonts w:eastAsia="Calibri" w:cs="Times New Roman"/>
          <w:szCs w:val="24"/>
          <w:lang w:eastAsia="en-US"/>
        </w:rPr>
        <w:t> </w:t>
      </w:r>
      <w:r w:rsidRPr="004E0F02">
        <w:rPr>
          <w:rFonts w:eastAsia="Calibri" w:cs="Times New Roman"/>
          <w:szCs w:val="24"/>
          <w:lang w:eastAsia="en-US"/>
        </w:rPr>
        <w:t>rozumieniu przepisów ustawy o ochronie baz danych</w:t>
      </w:r>
      <w:r w:rsidR="00EF1F5B" w:rsidRPr="004E0F02">
        <w:rPr>
          <w:rFonts w:eastAsia="Calibri" w:cs="Times New Roman"/>
          <w:szCs w:val="24"/>
          <w:lang w:eastAsia="en-US"/>
        </w:rPr>
        <w:t xml:space="preserve"> lub objętych prawami do odmian roślin w rozumieniu przepisów ustawy z dnia 26 czerwca 2003 r. o ochronie prawnej odmian roślin</w:t>
      </w:r>
      <w:r w:rsidRPr="004E0F02">
        <w:rPr>
          <w:rFonts w:eastAsia="Calibri" w:cs="Times New Roman"/>
          <w:szCs w:val="24"/>
          <w:lang w:eastAsia="en-US"/>
        </w:rPr>
        <w:t>, do których przysługują mu prawa. W szczególności podmiot zobowiązany określa warunek dotyczący obowiązku poinformowania o nazwisku, imieniu lub pseudonimie twórcy lub artysty wykonawcy, jeżeli jest znany.</w:t>
      </w:r>
      <w:r w:rsidR="00E45B1D" w:rsidRPr="004E0F02">
        <w:rPr>
          <w:rFonts w:eastAsia="Calibri" w:cs="Times New Roman"/>
          <w:szCs w:val="24"/>
          <w:lang w:eastAsia="en-US"/>
        </w:rPr>
        <w:t xml:space="preserve"> </w:t>
      </w:r>
    </w:p>
    <w:p w14:paraId="075D2E57" w14:textId="2D11DEA4" w:rsidR="00AE1AB1" w:rsidRPr="004E0F02" w:rsidRDefault="00E45B1D" w:rsidP="00AE1AB1">
      <w:pPr>
        <w:widowControl/>
        <w:spacing w:after="120" w:line="276" w:lineRule="auto"/>
        <w:jc w:val="both"/>
        <w:rPr>
          <w:rFonts w:eastAsia="Calibri" w:cs="Times New Roman"/>
          <w:szCs w:val="24"/>
          <w:lang w:eastAsia="en-US"/>
        </w:rPr>
      </w:pPr>
      <w:r w:rsidRPr="004E0F02">
        <w:rPr>
          <w:rFonts w:eastAsia="Calibri" w:cs="Times New Roman"/>
          <w:szCs w:val="24"/>
          <w:lang w:eastAsia="en-US"/>
        </w:rPr>
        <w:t>W art. </w:t>
      </w:r>
      <w:r w:rsidR="00A42682" w:rsidRPr="004E0F02">
        <w:rPr>
          <w:rFonts w:eastAsia="Calibri" w:cs="Times New Roman"/>
          <w:szCs w:val="24"/>
          <w:lang w:eastAsia="en-US"/>
        </w:rPr>
        <w:t>1</w:t>
      </w:r>
      <w:r w:rsidRPr="004E0F02">
        <w:rPr>
          <w:rFonts w:eastAsia="Calibri" w:cs="Times New Roman"/>
          <w:szCs w:val="24"/>
          <w:lang w:eastAsia="en-US"/>
        </w:rPr>
        <w:t>4 ust. 3 </w:t>
      </w:r>
      <w:r w:rsidR="00A42682" w:rsidRPr="004E0F02">
        <w:rPr>
          <w:rFonts w:eastAsia="Calibri" w:cs="Times New Roman"/>
          <w:szCs w:val="24"/>
          <w:lang w:eastAsia="en-US"/>
        </w:rPr>
        <w:t>projektu ustawy wprowadzona została fakultatywna możliwość określenia warunków ponownego wykorzystywania informacji sektora publicznego przy zastosowaniu standardowych otwartych licencji</w:t>
      </w:r>
      <w:r w:rsidR="00AE1AB1" w:rsidRPr="004E0F02">
        <w:rPr>
          <w:rFonts w:eastAsia="Calibri" w:cs="Times New Roman"/>
          <w:szCs w:val="24"/>
          <w:lang w:eastAsia="en-US"/>
        </w:rPr>
        <w:t>.</w:t>
      </w:r>
      <w:r w:rsidR="00A42682" w:rsidRPr="004E0F02">
        <w:rPr>
          <w:rFonts w:eastAsia="Calibri" w:cs="Times New Roman"/>
          <w:szCs w:val="24"/>
          <w:lang w:eastAsia="en-US"/>
        </w:rPr>
        <w:t xml:space="preserve"> </w:t>
      </w:r>
    </w:p>
    <w:p w14:paraId="59D332FC" w14:textId="180440E9" w:rsidR="00AE1AB1" w:rsidRPr="004E0F02" w:rsidRDefault="00AE1AB1" w:rsidP="00AE1AB1">
      <w:pPr>
        <w:widowControl/>
        <w:spacing w:after="120" w:line="276" w:lineRule="auto"/>
        <w:jc w:val="both"/>
        <w:rPr>
          <w:rFonts w:eastAsia="Calibri" w:cs="Times New Roman"/>
          <w:szCs w:val="24"/>
          <w:lang w:eastAsia="en-US"/>
        </w:rPr>
      </w:pPr>
      <w:r w:rsidRPr="004E0F02">
        <w:rPr>
          <w:rFonts w:eastAsia="Calibri" w:cs="Times New Roman"/>
          <w:szCs w:val="24"/>
          <w:lang w:eastAsia="en-US"/>
        </w:rPr>
        <w:t xml:space="preserve">W art. 2 pkt 5 dyrektywy 2019/1024/UE zdefiniowane zostało pojęcie licencji standardowej, która oznacza  zbiór  z  góry  określonych  warunków  ponownego  wykorzystywania w  formacie cyfrowym, najlepiej kompatybilny ze standardowymi licencjami publicznymi, dostępnymi w internecie. Natomiast zgodnie z art. 8 ust. 2  dyrektywy w  państwach członkowskich,  w  których  stosowane  są  licencje, państwa członkowskie  zapewniają, aby  licencje standardowe na ponowne wykorzystywanie dokumentów sektora publicznego, które to licencje można dostosować do określonych  wniosków  o  licencje, były  dostępne </w:t>
      </w:r>
      <w:r w:rsidRPr="004E0F02">
        <w:rPr>
          <w:rFonts w:eastAsia="Calibri" w:cs="Times New Roman"/>
          <w:szCs w:val="24"/>
          <w:lang w:eastAsia="en-US"/>
        </w:rPr>
        <w:lastRenderedPageBreak/>
        <w:t xml:space="preserve">w  formacie cyfrowym i  mogły być  przetwarzane elektronicznie. Państwa członkowskie zachęcają do stosowania takich licencji standardowych. </w:t>
      </w:r>
    </w:p>
    <w:p w14:paraId="1657C3A4" w14:textId="1114FC1C" w:rsidR="00AE1AB1" w:rsidRPr="004E0F02" w:rsidRDefault="00AE1AB1" w:rsidP="00AE1AB1">
      <w:pPr>
        <w:widowControl/>
        <w:spacing w:after="120" w:line="276" w:lineRule="auto"/>
        <w:jc w:val="both"/>
        <w:rPr>
          <w:rFonts w:eastAsia="Calibri" w:cs="Times New Roman"/>
          <w:szCs w:val="24"/>
          <w:lang w:eastAsia="en-US"/>
        </w:rPr>
      </w:pPr>
      <w:r w:rsidRPr="004E0F02">
        <w:rPr>
          <w:rFonts w:eastAsia="Calibri" w:cs="Times New Roman"/>
          <w:szCs w:val="24"/>
          <w:lang w:eastAsia="en-US"/>
        </w:rPr>
        <w:t xml:space="preserve">W  motywie 44 preambuły do dyrektywy 2019/1024/UE podkreślono, że w przypadku licencjonowania ważną  rolę mogą odgrywać dostępne w internecie licencje standardowe. Państwa członkowskie powinny więc zapewnić dostępność licencji standardowych. Licencje na ponowne wykorzystywanie informacji sektora publicznego powinny w każdym przypadku jak najmniej ograniczać ponowne ich wykorzystywanie, na przykład poprzez ograniczenie się do wymogu wskazania źródła. Istotną rolę w tym zakresie powinny odgrywać otwarte licencje w formie standardowych licencji publicznych dostępnych w internecie, które umożliwiają swobodny dostęp do danych i treści oraz ich swobodne wykorzystywanie, zmienianie i udostępnianie przez wszystkich do dowolnego celu i które opierają się na otwartych formatach danych. </w:t>
      </w:r>
    </w:p>
    <w:p w14:paraId="26ADF40B" w14:textId="66F5BD90" w:rsidR="00A42682" w:rsidRPr="004E0F02" w:rsidRDefault="00AE1AB1" w:rsidP="00AE1AB1">
      <w:pPr>
        <w:widowControl/>
        <w:spacing w:after="120" w:line="276" w:lineRule="auto"/>
        <w:jc w:val="both"/>
        <w:rPr>
          <w:rFonts w:eastAsia="Calibri" w:cs="Times New Roman"/>
          <w:szCs w:val="24"/>
          <w:lang w:eastAsia="en-US"/>
        </w:rPr>
      </w:pPr>
      <w:r w:rsidRPr="004E0F02">
        <w:rPr>
          <w:rFonts w:eastAsia="Calibri" w:cs="Times New Roman"/>
          <w:szCs w:val="24"/>
          <w:lang w:eastAsia="en-US"/>
        </w:rPr>
        <w:t>Umożliwienie udostępniania informacji na podstawie otwartych licencji było również postulowane w wytycznych Komisji Europejskiej z dnia 24 lipca 2014 r. w sprawie zalecanych licencji standardowych, zbiorów danych i opłat za ponowne wykorzystanie dokumentów (2014/C 240/01)</w:t>
      </w:r>
      <w:r w:rsidRPr="004E0F02">
        <w:rPr>
          <w:rStyle w:val="Odwoanieprzypisudolnego"/>
          <w:rFonts w:eastAsia="Calibri"/>
          <w:szCs w:val="24"/>
          <w:lang w:eastAsia="en-US"/>
        </w:rPr>
        <w:footnoteReference w:id="35"/>
      </w:r>
      <w:r w:rsidR="003E737D" w:rsidRPr="004E0F02">
        <w:rPr>
          <w:rFonts w:eastAsia="Calibri" w:cs="Times New Roman"/>
          <w:szCs w:val="24"/>
          <w:vertAlign w:val="superscript"/>
          <w:lang w:eastAsia="en-US"/>
        </w:rPr>
        <w:t>)</w:t>
      </w:r>
      <w:r w:rsidRPr="004E0F02">
        <w:rPr>
          <w:rFonts w:eastAsia="Calibri" w:cs="Times New Roman"/>
          <w:szCs w:val="24"/>
          <w:lang w:eastAsia="en-US"/>
        </w:rPr>
        <w:t>. W wytycznych wskazano, że w internecie dostępnych jest kilka licencji zgodnych z zasadami otwartości opisanymi przez Fundację Otwartej Wiedzy (Open Knowledge Foundation)</w:t>
      </w:r>
      <w:r w:rsidR="003E737D" w:rsidRPr="004E0F02">
        <w:rPr>
          <w:rStyle w:val="Odwoanieprzypisudolnego"/>
          <w:rFonts w:eastAsia="Calibri"/>
          <w:szCs w:val="24"/>
          <w:lang w:eastAsia="en-US"/>
        </w:rPr>
        <w:footnoteReference w:id="36"/>
      </w:r>
      <w:r w:rsidR="00391759" w:rsidRPr="004E0F02">
        <w:rPr>
          <w:rFonts w:eastAsia="Calibri" w:cs="Times New Roman"/>
          <w:szCs w:val="24"/>
          <w:vertAlign w:val="superscript"/>
          <w:lang w:eastAsia="en-US"/>
        </w:rPr>
        <w:t>)</w:t>
      </w:r>
      <w:r w:rsidRPr="004E0F02">
        <w:rPr>
          <w:rFonts w:eastAsia="Calibri" w:cs="Times New Roman"/>
          <w:szCs w:val="24"/>
          <w:lang w:eastAsia="en-US"/>
        </w:rPr>
        <w:t xml:space="preserve"> służących promowaniu nieograniczonego ponownego wykorzystywania treści internetowych. Przetłumaczono je na wiele języków, poddaje się je centralnej aktualizacji i są już powszechnie stosowane na całym świecie. Otwarte licencje standardowe, na przykład najnowsze licencje Creative Commons (CC) (wersja 4.0)</w:t>
      </w:r>
      <w:r w:rsidR="00391759" w:rsidRPr="004E0F02">
        <w:rPr>
          <w:rStyle w:val="Odwoanieprzypisudolnego"/>
          <w:rFonts w:eastAsia="Calibri"/>
          <w:szCs w:val="24"/>
          <w:lang w:eastAsia="en-US"/>
        </w:rPr>
        <w:footnoteReference w:id="37"/>
      </w:r>
      <w:r w:rsidRPr="004E0F02">
        <w:rPr>
          <w:rFonts w:eastAsia="Calibri" w:cs="Times New Roman"/>
          <w:szCs w:val="24"/>
          <w:lang w:eastAsia="en-US"/>
        </w:rPr>
        <w:t>, mogłyby pozwolić na ponowne wykorzystanie ISP bez konieczności tworzenia i aktualizacji specjalnie opracowanych licencji na poziomie krajowym lub niższym niż krajowy. Spośród nich szczególnie interesujące jest przekazanie do domeny publicznej CC0. Jako narzędzie prawne, które pozwala zrzec się praw autorskich i praw do baz danych dotyczących ISP, zapewnia użytkownikom</w:t>
      </w:r>
      <w:r w:rsidR="00604E34" w:rsidRPr="004E0F02">
        <w:rPr>
          <w:rFonts w:eastAsia="Calibri" w:cs="Times New Roman"/>
          <w:szCs w:val="24"/>
          <w:lang w:eastAsia="en-US"/>
        </w:rPr>
        <w:t xml:space="preserve"> dużą elastyczność</w:t>
      </w:r>
      <w:r w:rsidR="00391759" w:rsidRPr="004E0F02">
        <w:rPr>
          <w:rFonts w:eastAsia="Calibri" w:cs="Times New Roman"/>
          <w:szCs w:val="24"/>
          <w:lang w:eastAsia="en-US"/>
        </w:rPr>
        <w:t>.</w:t>
      </w:r>
    </w:p>
    <w:p w14:paraId="7A781585" w14:textId="40739DD5"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 kolei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4 ust. 4 </w:t>
      </w:r>
      <w:r w:rsidRPr="004E0F02">
        <w:rPr>
          <w:rFonts w:eastAsia="Calibri" w:cs="Times New Roman"/>
          <w:szCs w:val="24"/>
          <w:lang w:eastAsia="en-US"/>
        </w:rPr>
        <w:t>projektu ustawy podmiot zobowiązany określa warunki ponownego wykorzystywania informacji sektora publicznego stanowiących dane osobowe. Oznacza to, że podmiot zobowiązany</w:t>
      </w:r>
      <w:r w:rsidR="00E45B1D" w:rsidRPr="004E0F02">
        <w:rPr>
          <w:rFonts w:eastAsia="Calibri" w:cs="Times New Roman"/>
          <w:szCs w:val="24"/>
          <w:lang w:eastAsia="en-US"/>
        </w:rPr>
        <w:t xml:space="preserve"> w </w:t>
      </w:r>
      <w:r w:rsidRPr="004E0F02">
        <w:rPr>
          <w:rFonts w:eastAsia="Calibri" w:cs="Times New Roman"/>
          <w:szCs w:val="24"/>
          <w:lang w:eastAsia="en-US"/>
        </w:rPr>
        <w:t>przypadku,</w:t>
      </w:r>
      <w:r w:rsidR="00E45B1D" w:rsidRPr="004E0F02">
        <w:rPr>
          <w:rFonts w:eastAsia="Calibri" w:cs="Times New Roman"/>
          <w:szCs w:val="24"/>
          <w:lang w:eastAsia="en-US"/>
        </w:rPr>
        <w:t xml:space="preserve"> w </w:t>
      </w:r>
      <w:r w:rsidRPr="004E0F02">
        <w:rPr>
          <w:rFonts w:eastAsia="Calibri" w:cs="Times New Roman"/>
          <w:szCs w:val="24"/>
          <w:lang w:eastAsia="en-US"/>
        </w:rPr>
        <w:t>którym dochodzi do ujawnienia danych osobowych</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ramach informacji sektora publicznego, powinien określić zasady ponownego wykorzystywania danych osobowych </w:t>
      </w:r>
      <w:r w:rsidR="004E2B1F" w:rsidRPr="004E0F02">
        <w:rPr>
          <w:rFonts w:eastAsia="Calibri" w:cs="Times New Roman"/>
          <w:szCs w:val="24"/>
          <w:lang w:eastAsia="en-US"/>
        </w:rPr>
        <w:t>–</w:t>
      </w:r>
      <w:r w:rsidRPr="004E0F02">
        <w:rPr>
          <w:rFonts w:eastAsia="Calibri" w:cs="Times New Roman"/>
          <w:szCs w:val="24"/>
          <w:lang w:eastAsia="en-US"/>
        </w:rPr>
        <w:t xml:space="preserve"> czyli</w:t>
      </w:r>
      <w:r w:rsidR="004E2B1F" w:rsidRPr="004E0F02">
        <w:rPr>
          <w:rFonts w:eastAsia="Calibri" w:cs="Times New Roman"/>
          <w:szCs w:val="24"/>
          <w:lang w:eastAsia="en-US"/>
        </w:rPr>
        <w:t xml:space="preserve"> </w:t>
      </w:r>
      <w:r w:rsidRPr="004E0F02">
        <w:rPr>
          <w:rFonts w:eastAsia="Calibri" w:cs="Times New Roman"/>
          <w:szCs w:val="24"/>
          <w:lang w:eastAsia="en-US"/>
        </w:rPr>
        <w:t>na gruncie przepisów RODO – ich przetwarzania. Pozostawiono dowolność określenia tych zasad po stronie podmiotu zobowiązanego. Rekomendowanym rozwiązaniem byłoby wskazanie przez podmiot zobowiązany pierwotnego celu, dla którego dane osobowe zostały zebrane lub wskazanie celów ponownego wykorzystywania (przetwarzania), które byłby zgodne</w:t>
      </w:r>
      <w:r w:rsidR="00E45B1D" w:rsidRPr="004E0F02">
        <w:rPr>
          <w:rFonts w:eastAsia="Calibri" w:cs="Times New Roman"/>
          <w:szCs w:val="24"/>
          <w:lang w:eastAsia="en-US"/>
        </w:rPr>
        <w:t xml:space="preserve"> z </w:t>
      </w:r>
      <w:r w:rsidRPr="004E0F02">
        <w:rPr>
          <w:rFonts w:eastAsia="Calibri" w:cs="Times New Roman"/>
          <w:szCs w:val="24"/>
          <w:lang w:eastAsia="en-US"/>
        </w:rPr>
        <w:t>celem dla którego dane zostały zebrane.</w:t>
      </w:r>
    </w:p>
    <w:p w14:paraId="5147555D" w14:textId="25BEA406" w:rsidR="00EF1F5B" w:rsidRPr="004E0F02" w:rsidRDefault="00EF1F5B"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lastRenderedPageBreak/>
        <w:t>Zgodnie z art. 14 ust. 5 projektu podmiot zobowiązany może określić warunki ponownego wykorzystywania, o których mowa w art. 15, w przypadkach innych niż określone w ust. 2 i 4.</w:t>
      </w:r>
    </w:p>
    <w:p w14:paraId="54BEACDB" w14:textId="5E1C48B3"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5 ust. 1 </w:t>
      </w:r>
      <w:r w:rsidRPr="004E0F02">
        <w:rPr>
          <w:rFonts w:eastAsia="Calibri" w:cs="Times New Roman"/>
          <w:szCs w:val="24"/>
          <w:lang w:eastAsia="en-US"/>
        </w:rPr>
        <w:t>projektu ustawy określono katalog warunków ponownego wykorzystywania informacji sektora publicznego, jakie podmiot zobowiązany może ustanowić, udostępniając lub przekazując informacj</w:t>
      </w:r>
      <w:r w:rsidR="004E2B1F" w:rsidRPr="004E0F02">
        <w:rPr>
          <w:rFonts w:eastAsia="Calibri" w:cs="Times New Roman"/>
          <w:szCs w:val="24"/>
          <w:lang w:eastAsia="en-US"/>
        </w:rPr>
        <w:t>e</w:t>
      </w:r>
      <w:r w:rsidRPr="004E0F02">
        <w:rPr>
          <w:rFonts w:eastAsia="Calibri" w:cs="Times New Roman"/>
          <w:szCs w:val="24"/>
          <w:lang w:eastAsia="en-US"/>
        </w:rPr>
        <w:t xml:space="preserve"> sektora publicznego do ponownego wykorzystywania. Dotyczyć mogą one:</w:t>
      </w:r>
    </w:p>
    <w:p w14:paraId="31FA2800" w14:textId="2BDE72AE" w:rsidR="00A42682" w:rsidRPr="004E0F02" w:rsidRDefault="00A42682" w:rsidP="004D2DA7">
      <w:pPr>
        <w:widowControl/>
        <w:numPr>
          <w:ilvl w:val="0"/>
          <w:numId w:val="21"/>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obowiązku poinformowania</w:t>
      </w:r>
      <w:r w:rsidR="00E45B1D" w:rsidRPr="004E0F02">
        <w:rPr>
          <w:rFonts w:eastAsia="Calibri" w:cs="Times New Roman"/>
          <w:szCs w:val="24"/>
          <w:lang w:eastAsia="en-US"/>
        </w:rPr>
        <w:t xml:space="preserve"> o </w:t>
      </w:r>
      <w:r w:rsidRPr="004E0F02">
        <w:rPr>
          <w:rFonts w:eastAsia="Calibri" w:cs="Times New Roman"/>
          <w:szCs w:val="24"/>
          <w:lang w:eastAsia="en-US"/>
        </w:rPr>
        <w:t>źródle, czasie wytworzenia</w:t>
      </w:r>
      <w:r w:rsidR="00E45B1D" w:rsidRPr="004E0F02">
        <w:rPr>
          <w:rFonts w:eastAsia="Calibri" w:cs="Times New Roman"/>
          <w:szCs w:val="24"/>
          <w:lang w:eastAsia="en-US"/>
        </w:rPr>
        <w:t xml:space="preserve"> i </w:t>
      </w:r>
      <w:r w:rsidRPr="004E0F02">
        <w:rPr>
          <w:rFonts w:eastAsia="Calibri" w:cs="Times New Roman"/>
          <w:szCs w:val="24"/>
          <w:lang w:eastAsia="en-US"/>
        </w:rPr>
        <w:t>pozyskania informacji od</w:t>
      </w:r>
      <w:r w:rsidR="004E2B1F" w:rsidRPr="004E0F02">
        <w:rPr>
          <w:rFonts w:eastAsia="Calibri" w:cs="Times New Roman"/>
          <w:szCs w:val="24"/>
          <w:lang w:eastAsia="en-US"/>
        </w:rPr>
        <w:t> </w:t>
      </w:r>
      <w:r w:rsidRPr="004E0F02">
        <w:rPr>
          <w:rFonts w:eastAsia="Calibri" w:cs="Times New Roman"/>
          <w:szCs w:val="24"/>
          <w:lang w:eastAsia="en-US"/>
        </w:rPr>
        <w:t>podmiotu zobowiązanego;</w:t>
      </w:r>
    </w:p>
    <w:p w14:paraId="64DD44B1" w14:textId="79B3259F" w:rsidR="00A42682" w:rsidRPr="004E0F02" w:rsidRDefault="00A42682" w:rsidP="004D2DA7">
      <w:pPr>
        <w:widowControl/>
        <w:numPr>
          <w:ilvl w:val="0"/>
          <w:numId w:val="21"/>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obowiązku poinformowania</w:t>
      </w:r>
      <w:r w:rsidR="00E45B1D" w:rsidRPr="004E0F02">
        <w:rPr>
          <w:rFonts w:eastAsia="Calibri" w:cs="Times New Roman"/>
          <w:szCs w:val="24"/>
          <w:lang w:eastAsia="en-US"/>
        </w:rPr>
        <w:t xml:space="preserve"> o </w:t>
      </w:r>
      <w:r w:rsidRPr="004E0F02">
        <w:rPr>
          <w:rFonts w:eastAsia="Calibri" w:cs="Times New Roman"/>
          <w:szCs w:val="24"/>
          <w:lang w:eastAsia="en-US"/>
        </w:rPr>
        <w:t>przetworzeniu informacji ponownie wykorzystywanej;</w:t>
      </w:r>
    </w:p>
    <w:p w14:paraId="17A11916" w14:textId="77777777" w:rsidR="00A42682" w:rsidRPr="004E0F02" w:rsidRDefault="00A42682" w:rsidP="004D2DA7">
      <w:pPr>
        <w:widowControl/>
        <w:numPr>
          <w:ilvl w:val="0"/>
          <w:numId w:val="21"/>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zakresu odpowiedzialności podmiotu zobowiązanego za udostępniane lub przekazywane informacje.</w:t>
      </w:r>
    </w:p>
    <w:p w14:paraId="36D37B0D" w14:textId="77777777" w:rsidR="00EF1F5B" w:rsidRPr="004E0F02" w:rsidRDefault="00A42682" w:rsidP="00EF1F5B">
      <w:pPr>
        <w:widowControl/>
        <w:spacing w:before="240" w:line="276" w:lineRule="auto"/>
        <w:jc w:val="both"/>
        <w:rPr>
          <w:rFonts w:eastAsia="Calibri" w:cs="Times New Roman"/>
          <w:szCs w:val="24"/>
          <w:lang w:eastAsia="en-US"/>
        </w:rPr>
      </w:pPr>
      <w:r w:rsidRPr="004E0F02">
        <w:rPr>
          <w:rFonts w:eastAsia="Calibri" w:cs="Times New Roman"/>
          <w:szCs w:val="24"/>
          <w:lang w:eastAsia="en-US"/>
        </w:rPr>
        <w:t>Na podstawie</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5 ust. 2 </w:t>
      </w:r>
      <w:r w:rsidRPr="004E0F02">
        <w:rPr>
          <w:rFonts w:eastAsia="Calibri" w:cs="Times New Roman"/>
          <w:szCs w:val="24"/>
          <w:lang w:eastAsia="en-US"/>
        </w:rPr>
        <w:t>projektu ustawy podmioty zobowiązane będące muzeami państwowymi, muzeami samorządowymi, bibliotekami publicznymi, bibliotekami naukowymi lub archiwami mogą określać inne niż wyżej wymienione warunki ponownego wykorzystywania ograniczające wykorzystywanie informacji sektora publicznego</w:t>
      </w:r>
      <w:r w:rsidR="00EF1F5B" w:rsidRPr="004E0F02">
        <w:rPr>
          <w:rFonts w:eastAsia="Calibri" w:cs="Times New Roman"/>
          <w:szCs w:val="24"/>
          <w:lang w:eastAsia="en-US"/>
        </w:rPr>
        <w:t>:</w:t>
      </w:r>
    </w:p>
    <w:p w14:paraId="39951555" w14:textId="77777777" w:rsidR="00EF1F5B" w:rsidRPr="004E0F02" w:rsidRDefault="00EF1F5B" w:rsidP="00EF1F5B">
      <w:pPr>
        <w:pStyle w:val="Akapitzlist"/>
        <w:numPr>
          <w:ilvl w:val="0"/>
          <w:numId w:val="41"/>
        </w:numPr>
        <w:spacing w:before="240" w:after="120"/>
        <w:jc w:val="both"/>
        <w:rPr>
          <w:rFonts w:ascii="Times New Roman" w:hAnsi="Times New Roman"/>
          <w:szCs w:val="24"/>
        </w:rPr>
      </w:pPr>
      <w:r w:rsidRPr="004E0F02">
        <w:rPr>
          <w:rFonts w:ascii="Times New Roman" w:hAnsi="Times New Roman"/>
        </w:rPr>
        <w:t>w działalności komercyjnej lub na określonych polach eksploatacji, jeżeli dotyczą zbiorów o charakterze martyrologicznym oraz zawierają godło, barwy i hymn Rzeczypospolitej Polskiej, a także herby, reprodukcje orderów, odznaczeń lub odznak honorowych, odznak lub oznak wojskowych bądź innych odznaczeń;</w:t>
      </w:r>
    </w:p>
    <w:p w14:paraId="1A4C3238" w14:textId="297879A5" w:rsidR="00A42682" w:rsidRPr="004E0F02" w:rsidRDefault="00A42682" w:rsidP="00EF1F5B">
      <w:pPr>
        <w:pStyle w:val="Akapitzlist"/>
        <w:numPr>
          <w:ilvl w:val="0"/>
          <w:numId w:val="41"/>
        </w:numPr>
        <w:spacing w:before="240" w:after="120"/>
        <w:jc w:val="both"/>
        <w:rPr>
          <w:rFonts w:ascii="Times New Roman" w:hAnsi="Times New Roman"/>
          <w:szCs w:val="24"/>
        </w:rPr>
      </w:pPr>
      <w:r w:rsidRPr="004E0F02">
        <w:rPr>
          <w:rFonts w:ascii="Times New Roman" w:hAnsi="Times New Roman"/>
          <w:szCs w:val="24"/>
        </w:rPr>
        <w:t>do</w:t>
      </w:r>
      <w:r w:rsidR="00D63AB1" w:rsidRPr="004E0F02">
        <w:rPr>
          <w:rFonts w:ascii="Times New Roman" w:hAnsi="Times New Roman"/>
          <w:szCs w:val="24"/>
        </w:rPr>
        <w:t> </w:t>
      </w:r>
      <w:r w:rsidRPr="004E0F02">
        <w:rPr>
          <w:rFonts w:ascii="Times New Roman" w:hAnsi="Times New Roman"/>
          <w:szCs w:val="24"/>
        </w:rPr>
        <w:t>działalności niekomercyjnej, jeżeli są powiązane z obiektami objętymi roszczeniami osób trzecich lub niebędącymi własnością podmiotu zobowiązanego.</w:t>
      </w:r>
    </w:p>
    <w:p w14:paraId="782F3DEC" w14:textId="6CA6CB67" w:rsidR="00A42682" w:rsidRPr="004E0F02" w:rsidRDefault="00EF1F5B"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 xml:space="preserve"> Zgodnie z art. 16 projektu ustawy warunki ponownego wykorzystywania określone przez podmiot zobowiązany muszą być obiektywne, proporcjonalne, niedyskryminacyjne i nie mogą w sposób nieuzasadniony ograniczać możliwości ponownego wykorzystywania informacji sektora publicznego. </w:t>
      </w:r>
    </w:p>
    <w:p w14:paraId="47676DB0" w14:textId="287B559A"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 przypadku naruszenia przez użytkownika warunków ponownego wykorzystania będą miały zastosowanie przepisy ustawy</w:t>
      </w:r>
      <w:r w:rsidR="00E45B1D" w:rsidRPr="004E0F02">
        <w:rPr>
          <w:rFonts w:eastAsia="Calibri" w:cs="Times New Roman"/>
          <w:szCs w:val="24"/>
          <w:lang w:eastAsia="en-US"/>
        </w:rPr>
        <w:t xml:space="preserve"> z </w:t>
      </w:r>
      <w:r w:rsidRPr="004E0F02">
        <w:rPr>
          <w:rFonts w:eastAsia="Calibri" w:cs="Times New Roman"/>
          <w:szCs w:val="24"/>
          <w:lang w:eastAsia="en-US"/>
        </w:rPr>
        <w:t>dnia 2</w:t>
      </w:r>
      <w:r w:rsidR="00E45B1D" w:rsidRPr="004E0F02">
        <w:rPr>
          <w:rFonts w:eastAsia="Calibri" w:cs="Times New Roman"/>
          <w:szCs w:val="24"/>
          <w:lang w:eastAsia="en-US"/>
        </w:rPr>
        <w:t>3 </w:t>
      </w:r>
      <w:r w:rsidRPr="004E0F02">
        <w:rPr>
          <w:rFonts w:eastAsia="Calibri" w:cs="Times New Roman"/>
          <w:szCs w:val="24"/>
          <w:lang w:eastAsia="en-US"/>
        </w:rPr>
        <w:t>czerwca 196</w:t>
      </w:r>
      <w:r w:rsidR="00E45B1D" w:rsidRPr="004E0F02">
        <w:rPr>
          <w:rFonts w:eastAsia="Calibri" w:cs="Times New Roman"/>
          <w:szCs w:val="24"/>
          <w:lang w:eastAsia="en-US"/>
        </w:rPr>
        <w:t>4 </w:t>
      </w:r>
      <w:r w:rsidRPr="004E0F02">
        <w:rPr>
          <w:rFonts w:eastAsia="Calibri" w:cs="Times New Roman"/>
          <w:szCs w:val="24"/>
          <w:lang w:eastAsia="en-US"/>
        </w:rPr>
        <w:t>r. – Kodeks cywilny</w:t>
      </w:r>
      <w:r w:rsidRPr="004E0F02">
        <w:rPr>
          <w:rFonts w:eastAsia="Calibri" w:cs="Times New Roman"/>
          <w:szCs w:val="24"/>
          <w:vertAlign w:val="superscript"/>
          <w:lang w:eastAsia="en-US"/>
        </w:rPr>
        <w:footnoteReference w:id="38"/>
      </w:r>
      <w:r w:rsidRPr="004E0F02">
        <w:rPr>
          <w:rFonts w:eastAsia="Times New Roman" w:cs="Times New Roman"/>
          <w:szCs w:val="24"/>
          <w:vertAlign w:val="superscript"/>
        </w:rPr>
        <w:t>)</w:t>
      </w:r>
      <w:r w:rsidR="00E45B1D" w:rsidRPr="004E0F02">
        <w:rPr>
          <w:rFonts w:eastAsia="Calibri" w:cs="Times New Roman"/>
          <w:szCs w:val="24"/>
          <w:lang w:eastAsia="en-US"/>
        </w:rPr>
        <w:t xml:space="preserve"> o </w:t>
      </w:r>
      <w:r w:rsidRPr="004E0F02">
        <w:rPr>
          <w:rFonts w:eastAsia="Calibri" w:cs="Times New Roman"/>
          <w:szCs w:val="24"/>
          <w:lang w:eastAsia="en-US"/>
        </w:rPr>
        <w:t>niewykonaniu lub nienależytym wykonaniu zobowiązania.</w:t>
      </w:r>
    </w:p>
    <w:p w14:paraId="65E7C297" w14:textId="55D62840"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b/>
          <w:szCs w:val="24"/>
          <w:lang w:eastAsia="en-US"/>
        </w:rPr>
        <w:t>Rozdział 4.</w:t>
      </w:r>
      <w:r w:rsidRPr="004E0F02">
        <w:rPr>
          <w:rFonts w:eastAsia="Calibri" w:cs="Times New Roman"/>
          <w:szCs w:val="24"/>
          <w:lang w:eastAsia="en-US"/>
        </w:rPr>
        <w:t xml:space="preserve"> </w:t>
      </w:r>
      <w:r w:rsidR="00D70B3C" w:rsidRPr="004E0F02">
        <w:rPr>
          <w:rFonts w:eastAsia="Calibri" w:cs="Times New Roman"/>
          <w:b/>
          <w:szCs w:val="24"/>
          <w:lang w:eastAsia="en-US"/>
        </w:rPr>
        <w:t>Zasady ustalania opłat za ponowne wykorzystywanie.</w:t>
      </w:r>
      <w:r w:rsidRPr="004E0F02">
        <w:rPr>
          <w:rFonts w:eastAsia="Calibri" w:cs="Times New Roman"/>
          <w:b/>
          <w:szCs w:val="24"/>
          <w:lang w:eastAsia="en-US"/>
        </w:rPr>
        <w:t>.</w:t>
      </w:r>
    </w:p>
    <w:p w14:paraId="072109E7" w14:textId="23BAA4C8"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Przepis</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7 </w:t>
      </w:r>
      <w:r w:rsidRPr="004E0F02">
        <w:rPr>
          <w:rFonts w:eastAsia="Calibri" w:cs="Times New Roman"/>
          <w:szCs w:val="24"/>
          <w:lang w:eastAsia="en-US"/>
        </w:rPr>
        <w:t>projektu ustawy formułuje generalną zasadę bezpłatnego udostępniania lub przekazywania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celu ich ponownego wykorzystywania.</w:t>
      </w:r>
    </w:p>
    <w:p w14:paraId="19859DBD" w14:textId="13D30694"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Podmioty zobowiązane będą mogły jednak, zgodnie</w:t>
      </w:r>
      <w:r w:rsidR="00E45B1D" w:rsidRPr="004E0F02">
        <w:rPr>
          <w:rFonts w:eastAsia="Calibri" w:cs="Times New Roman"/>
          <w:szCs w:val="24"/>
          <w:lang w:eastAsia="en-US"/>
        </w:rPr>
        <w:t xml:space="preserve"> z art. </w:t>
      </w:r>
      <w:r w:rsidRPr="004E0F02">
        <w:rPr>
          <w:rFonts w:eastAsia="Calibri" w:cs="Times New Roman"/>
          <w:szCs w:val="24"/>
          <w:lang w:eastAsia="en-US"/>
        </w:rPr>
        <w:t>1</w:t>
      </w:r>
      <w:r w:rsidR="00E45B1D" w:rsidRPr="004E0F02">
        <w:rPr>
          <w:rFonts w:eastAsia="Calibri" w:cs="Times New Roman"/>
          <w:szCs w:val="24"/>
          <w:lang w:eastAsia="en-US"/>
        </w:rPr>
        <w:t>8 ust. 1 </w:t>
      </w:r>
      <w:r w:rsidRPr="004E0F02">
        <w:rPr>
          <w:rFonts w:eastAsia="Calibri" w:cs="Times New Roman"/>
          <w:szCs w:val="24"/>
          <w:lang w:eastAsia="en-US"/>
        </w:rPr>
        <w:t>projektu ustawy, nałożyć opłatę za ponowne wykorzystywanie, jeżeli przygotowanie lub przekazanie informacji sektora publicznego w sposób lub</w:t>
      </w:r>
      <w:r w:rsidR="00E45B1D" w:rsidRPr="004E0F02">
        <w:rPr>
          <w:rFonts w:eastAsia="Calibri" w:cs="Times New Roman"/>
          <w:szCs w:val="24"/>
          <w:lang w:eastAsia="en-US"/>
        </w:rPr>
        <w:t xml:space="preserve"> w </w:t>
      </w:r>
      <w:r w:rsidRPr="004E0F02">
        <w:rPr>
          <w:rFonts w:eastAsia="Calibri" w:cs="Times New Roman"/>
          <w:szCs w:val="24"/>
          <w:lang w:eastAsia="en-US"/>
        </w:rPr>
        <w:t>formie wskazanych we wniosku</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 wymagałoby poniesienia dodatkowych kosztów. Nakładając opłatę, podmiot zobowiązany będzie uwzględniać koszty przygotowania lub/i przekazania informacji sektora publicznego w</w:t>
      </w:r>
      <w:r w:rsidR="00396466" w:rsidRPr="004E0F02">
        <w:rPr>
          <w:rFonts w:eastAsia="Calibri" w:cs="Times New Roman"/>
          <w:szCs w:val="24"/>
          <w:lang w:eastAsia="en-US"/>
        </w:rPr>
        <w:t> </w:t>
      </w:r>
      <w:r w:rsidRPr="004E0F02">
        <w:rPr>
          <w:rFonts w:eastAsia="Calibri" w:cs="Times New Roman"/>
          <w:szCs w:val="24"/>
          <w:lang w:eastAsia="en-US"/>
        </w:rPr>
        <w:t xml:space="preserve">określony sposób i w określonej formie oraz inne czynniki, jakie będą brane pod uwagę przy </w:t>
      </w:r>
      <w:r w:rsidRPr="004E0F02">
        <w:rPr>
          <w:rFonts w:eastAsia="Calibri" w:cs="Times New Roman"/>
          <w:szCs w:val="24"/>
          <w:lang w:eastAsia="en-US"/>
        </w:rPr>
        <w:lastRenderedPageBreak/>
        <w:t>rozpatrywaniu wniosków</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 które mogą mieć wpływ</w:t>
      </w:r>
      <w:r w:rsidR="00E45B1D" w:rsidRPr="004E0F02">
        <w:rPr>
          <w:rFonts w:eastAsia="Calibri" w:cs="Times New Roman"/>
          <w:szCs w:val="24"/>
          <w:lang w:eastAsia="en-US"/>
        </w:rPr>
        <w:t xml:space="preserve"> w </w:t>
      </w:r>
      <w:r w:rsidRPr="004E0F02">
        <w:rPr>
          <w:rFonts w:eastAsia="Calibri" w:cs="Times New Roman"/>
          <w:szCs w:val="24"/>
          <w:lang w:eastAsia="en-US"/>
        </w:rPr>
        <w:t>szczególności na koszt lub czas przygotowania lub przekazania danych. Łączna wysokość opłaty nie może przekroczyć sumy kosztów poniesionych bezpośrednio</w:t>
      </w:r>
      <w:r w:rsidR="00E45B1D" w:rsidRPr="004E0F02">
        <w:rPr>
          <w:rFonts w:eastAsia="Calibri" w:cs="Times New Roman"/>
          <w:szCs w:val="24"/>
          <w:lang w:eastAsia="en-US"/>
        </w:rPr>
        <w:t xml:space="preserve"> w </w:t>
      </w:r>
      <w:r w:rsidRPr="004E0F02">
        <w:rPr>
          <w:rFonts w:eastAsia="Calibri" w:cs="Times New Roman"/>
          <w:szCs w:val="24"/>
          <w:lang w:eastAsia="en-US"/>
        </w:rPr>
        <w:t>celu przygotowania lub przekazania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celu ponownego wykorzystywania w</w:t>
      </w:r>
      <w:r w:rsidR="00396466" w:rsidRPr="004E0F02">
        <w:rPr>
          <w:rFonts w:eastAsia="Calibri" w:cs="Times New Roman"/>
          <w:szCs w:val="24"/>
          <w:lang w:eastAsia="en-US"/>
        </w:rPr>
        <w:t> </w:t>
      </w:r>
      <w:r w:rsidRPr="004E0F02">
        <w:rPr>
          <w:rFonts w:eastAsia="Calibri" w:cs="Times New Roman"/>
          <w:szCs w:val="24"/>
          <w:lang w:eastAsia="en-US"/>
        </w:rPr>
        <w:t>określony sposób</w:t>
      </w:r>
      <w:r w:rsidR="00E45B1D" w:rsidRPr="004E0F02">
        <w:rPr>
          <w:rFonts w:eastAsia="Calibri" w:cs="Times New Roman"/>
          <w:szCs w:val="24"/>
          <w:lang w:eastAsia="en-US"/>
        </w:rPr>
        <w:t xml:space="preserve"> i w </w:t>
      </w:r>
      <w:r w:rsidRPr="004E0F02">
        <w:rPr>
          <w:rFonts w:eastAsia="Calibri" w:cs="Times New Roman"/>
          <w:szCs w:val="24"/>
          <w:lang w:eastAsia="en-US"/>
        </w:rPr>
        <w:t>określonej formie (art. 1</w:t>
      </w:r>
      <w:r w:rsidR="00E45B1D" w:rsidRPr="004E0F02">
        <w:rPr>
          <w:rFonts w:eastAsia="Calibri" w:cs="Times New Roman"/>
          <w:szCs w:val="24"/>
          <w:lang w:eastAsia="en-US"/>
        </w:rPr>
        <w:t>8 ust. 2 </w:t>
      </w:r>
      <w:r w:rsidRPr="004E0F02">
        <w:rPr>
          <w:rFonts w:eastAsia="Calibri" w:cs="Times New Roman"/>
          <w:szCs w:val="24"/>
          <w:lang w:eastAsia="en-US"/>
        </w:rPr>
        <w:t>projektu ustawy).</w:t>
      </w:r>
    </w:p>
    <w:p w14:paraId="360125B1" w14:textId="4A8A88D6"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Dyrektywa 2019/1024/UE wprowadziła</w:t>
      </w:r>
      <w:r w:rsidR="00E45B1D" w:rsidRPr="004E0F02">
        <w:rPr>
          <w:rFonts w:eastAsia="Calibri" w:cs="Times New Roman"/>
          <w:szCs w:val="24"/>
          <w:lang w:eastAsia="en-US"/>
        </w:rPr>
        <w:t xml:space="preserve"> w art. 6 ust. 4 </w:t>
      </w:r>
      <w:r w:rsidRPr="004E0F02">
        <w:rPr>
          <w:rFonts w:eastAsia="Calibri" w:cs="Times New Roman"/>
          <w:szCs w:val="24"/>
          <w:lang w:eastAsia="en-US"/>
        </w:rPr>
        <w:t>możliwość pobierania (w stosownych przypadkach) opłat uwzględniających koszty anonimizacji danych osobowych oraz koszty środków zastosowanych</w:t>
      </w:r>
      <w:r w:rsidR="00E45B1D" w:rsidRPr="004E0F02">
        <w:rPr>
          <w:rFonts w:eastAsia="Calibri" w:cs="Times New Roman"/>
          <w:szCs w:val="24"/>
          <w:lang w:eastAsia="en-US"/>
        </w:rPr>
        <w:t xml:space="preserve"> w </w:t>
      </w:r>
      <w:r w:rsidRPr="004E0F02">
        <w:rPr>
          <w:rFonts w:eastAsia="Calibri" w:cs="Times New Roman"/>
          <w:szCs w:val="24"/>
          <w:lang w:eastAsia="en-US"/>
        </w:rPr>
        <w:t>celu ochrony poufnych informacji handlowych. Odzwierciedlenie wskazanych przepisów dyrektywy stanowi</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8 ust. 3 </w:t>
      </w:r>
      <w:r w:rsidRPr="004E0F02">
        <w:rPr>
          <w:rFonts w:eastAsia="Calibri" w:cs="Times New Roman"/>
          <w:szCs w:val="24"/>
          <w:lang w:eastAsia="en-US"/>
        </w:rPr>
        <w:t>projektu ustawy, zgodnie</w:t>
      </w:r>
      <w:r w:rsidR="00E45B1D" w:rsidRPr="004E0F02">
        <w:rPr>
          <w:rFonts w:eastAsia="Calibri" w:cs="Times New Roman"/>
          <w:szCs w:val="24"/>
          <w:lang w:eastAsia="en-US"/>
        </w:rPr>
        <w:t xml:space="preserve"> z </w:t>
      </w:r>
      <w:r w:rsidRPr="004E0F02">
        <w:rPr>
          <w:rFonts w:eastAsia="Calibri" w:cs="Times New Roman"/>
          <w:szCs w:val="24"/>
          <w:lang w:eastAsia="en-US"/>
        </w:rPr>
        <w:t>którym podmiot zobowiązany, ustalając wysokość opłaty,</w:t>
      </w:r>
      <w:r w:rsidR="00E45B1D" w:rsidRPr="004E0F02">
        <w:rPr>
          <w:rFonts w:eastAsia="Calibri" w:cs="Times New Roman"/>
          <w:szCs w:val="24"/>
          <w:lang w:eastAsia="en-US"/>
        </w:rPr>
        <w:t xml:space="preserve"> o </w:t>
      </w:r>
      <w:r w:rsidRPr="004E0F02">
        <w:rPr>
          <w:rFonts w:eastAsia="Calibri" w:cs="Times New Roman"/>
          <w:szCs w:val="24"/>
          <w:lang w:eastAsia="en-US"/>
        </w:rPr>
        <w:t>której mowa</w:t>
      </w:r>
      <w:r w:rsidR="00E45B1D" w:rsidRPr="004E0F02">
        <w:rPr>
          <w:rFonts w:eastAsia="Calibri" w:cs="Times New Roman"/>
          <w:szCs w:val="24"/>
          <w:lang w:eastAsia="en-US"/>
        </w:rPr>
        <w:t xml:space="preserve"> w art. </w:t>
      </w:r>
      <w:r w:rsidRPr="004E0F02">
        <w:rPr>
          <w:rFonts w:eastAsia="Calibri" w:cs="Times New Roman"/>
          <w:szCs w:val="24"/>
          <w:lang w:eastAsia="en-US"/>
        </w:rPr>
        <w:t>1</w:t>
      </w:r>
      <w:r w:rsidR="00E45B1D" w:rsidRPr="004E0F02">
        <w:rPr>
          <w:rFonts w:eastAsia="Calibri" w:cs="Times New Roman"/>
          <w:szCs w:val="24"/>
          <w:lang w:eastAsia="en-US"/>
        </w:rPr>
        <w:t>8 ust. 2 </w:t>
      </w:r>
      <w:r w:rsidRPr="004E0F02">
        <w:rPr>
          <w:rFonts w:eastAsia="Calibri" w:cs="Times New Roman"/>
          <w:szCs w:val="24"/>
          <w:lang w:eastAsia="en-US"/>
        </w:rPr>
        <w:t>projektu ustawy, może uwzględnić koszty czynności związanych</w:t>
      </w:r>
      <w:r w:rsidR="00E45B1D" w:rsidRPr="004E0F02">
        <w:rPr>
          <w:rFonts w:eastAsia="Calibri" w:cs="Times New Roman"/>
          <w:szCs w:val="24"/>
          <w:lang w:eastAsia="en-US"/>
        </w:rPr>
        <w:t xml:space="preserve"> z </w:t>
      </w:r>
      <w:r w:rsidRPr="004E0F02">
        <w:rPr>
          <w:rFonts w:eastAsia="Calibri" w:cs="Times New Roman"/>
          <w:szCs w:val="24"/>
          <w:lang w:eastAsia="en-US"/>
        </w:rPr>
        <w:t>anonimizacją danych osobowych oraz ze środkami zastosowanymi</w:t>
      </w:r>
      <w:r w:rsidR="00E45B1D" w:rsidRPr="004E0F02">
        <w:rPr>
          <w:rFonts w:eastAsia="Calibri" w:cs="Times New Roman"/>
          <w:szCs w:val="24"/>
          <w:lang w:eastAsia="en-US"/>
        </w:rPr>
        <w:t xml:space="preserve"> w </w:t>
      </w:r>
      <w:r w:rsidRPr="004E0F02">
        <w:rPr>
          <w:rFonts w:eastAsia="Calibri" w:cs="Times New Roman"/>
          <w:szCs w:val="24"/>
          <w:lang w:eastAsia="en-US"/>
        </w:rPr>
        <w:t>celu ochrony tajemnicy przedsiębiorstwa.</w:t>
      </w:r>
    </w:p>
    <w:p w14:paraId="73C5F16B" w14:textId="758A5697" w:rsidR="00E50448"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Muzea państwowe</w:t>
      </w:r>
      <w:r w:rsidR="00E45B1D" w:rsidRPr="004E0F02">
        <w:rPr>
          <w:rFonts w:eastAsia="Calibri" w:cs="Times New Roman"/>
          <w:szCs w:val="24"/>
          <w:lang w:eastAsia="en-US"/>
        </w:rPr>
        <w:t xml:space="preserve"> i </w:t>
      </w:r>
      <w:r w:rsidRPr="004E0F02">
        <w:rPr>
          <w:rFonts w:eastAsia="Calibri" w:cs="Times New Roman"/>
          <w:szCs w:val="24"/>
          <w:lang w:eastAsia="en-US"/>
        </w:rPr>
        <w:t>muzea samorządowe</w:t>
      </w:r>
      <w:r w:rsidR="00E45B1D" w:rsidRPr="004E0F02">
        <w:rPr>
          <w:rFonts w:eastAsia="Calibri" w:cs="Times New Roman"/>
          <w:szCs w:val="24"/>
          <w:lang w:eastAsia="en-US"/>
        </w:rPr>
        <w:t xml:space="preserve"> w </w:t>
      </w:r>
      <w:r w:rsidRPr="004E0F02">
        <w:rPr>
          <w:rFonts w:eastAsia="Calibri" w:cs="Times New Roman"/>
          <w:szCs w:val="24"/>
          <w:lang w:eastAsia="en-US"/>
        </w:rPr>
        <w:t>przypadku udostępniania lub przekazywania informacji sektora publicznego do ponownego wykorzystywania</w:t>
      </w:r>
      <w:r w:rsidR="00E45B1D" w:rsidRPr="004E0F02">
        <w:rPr>
          <w:rFonts w:eastAsia="Calibri" w:cs="Times New Roman"/>
          <w:szCs w:val="24"/>
          <w:lang w:eastAsia="en-US"/>
        </w:rPr>
        <w:t xml:space="preserve"> w </w:t>
      </w:r>
      <w:r w:rsidRPr="004E0F02">
        <w:rPr>
          <w:rFonts w:eastAsia="Calibri" w:cs="Times New Roman"/>
          <w:szCs w:val="24"/>
          <w:lang w:eastAsia="en-US"/>
        </w:rPr>
        <w:t>celach innych niż niekomercyjne</w:t>
      </w:r>
      <w:r w:rsidR="00E45B1D" w:rsidRPr="004E0F02">
        <w:rPr>
          <w:rFonts w:eastAsia="Calibri" w:cs="Times New Roman"/>
          <w:szCs w:val="24"/>
          <w:lang w:eastAsia="en-US"/>
        </w:rPr>
        <w:t xml:space="preserve"> o </w:t>
      </w:r>
      <w:r w:rsidRPr="004E0F02">
        <w:rPr>
          <w:rFonts w:eastAsia="Calibri" w:cs="Times New Roman"/>
          <w:szCs w:val="24"/>
          <w:lang w:eastAsia="en-US"/>
        </w:rPr>
        <w:t>charakterze badawczym, naukowym lub edukacyjnym,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9 ust. 1 </w:t>
      </w:r>
      <w:r w:rsidRPr="004E0F02">
        <w:rPr>
          <w:rFonts w:eastAsia="Calibri" w:cs="Times New Roman"/>
          <w:szCs w:val="24"/>
          <w:lang w:eastAsia="en-US"/>
        </w:rPr>
        <w:t>projektu ustawy będą mogły nałożyć opłaty wyższe niż wyżej wymienione. Ustalając wysokość takich opłat należy uwzględnić koszty gromadzenia, produkowania, reprodukowania, rozpowszechniania, ochrony i ustalania praw,</w:t>
      </w:r>
      <w:r w:rsidR="00E45B1D" w:rsidRPr="004E0F02">
        <w:rPr>
          <w:rFonts w:eastAsia="Calibri" w:cs="Times New Roman"/>
          <w:szCs w:val="24"/>
          <w:lang w:eastAsia="en-US"/>
        </w:rPr>
        <w:t xml:space="preserve"> a </w:t>
      </w:r>
      <w:r w:rsidRPr="004E0F02">
        <w:rPr>
          <w:rFonts w:eastAsia="Calibri" w:cs="Times New Roman"/>
          <w:szCs w:val="24"/>
          <w:lang w:eastAsia="en-US"/>
        </w:rPr>
        <w:t>ich łączna wysokość nie może przekroczyć sumy tych kosztów wraz</w:t>
      </w:r>
      <w:r w:rsidR="00E45B1D" w:rsidRPr="004E0F02">
        <w:rPr>
          <w:rFonts w:eastAsia="Calibri" w:cs="Times New Roman"/>
          <w:szCs w:val="24"/>
          <w:lang w:eastAsia="en-US"/>
        </w:rPr>
        <w:t xml:space="preserve"> z </w:t>
      </w:r>
      <w:r w:rsidRPr="004E0F02">
        <w:rPr>
          <w:rFonts w:eastAsia="Calibri" w:cs="Times New Roman"/>
          <w:szCs w:val="24"/>
          <w:lang w:eastAsia="en-US"/>
        </w:rPr>
        <w:t>rozsądnym zwrotem</w:t>
      </w:r>
      <w:r w:rsidR="00E45B1D" w:rsidRPr="004E0F02">
        <w:rPr>
          <w:rFonts w:eastAsia="Calibri" w:cs="Times New Roman"/>
          <w:szCs w:val="24"/>
          <w:lang w:eastAsia="en-US"/>
        </w:rPr>
        <w:t xml:space="preserve"> z </w:t>
      </w:r>
      <w:r w:rsidRPr="004E0F02">
        <w:rPr>
          <w:rFonts w:eastAsia="Calibri" w:cs="Times New Roman"/>
          <w:szCs w:val="24"/>
          <w:lang w:eastAsia="en-US"/>
        </w:rPr>
        <w:t>inwestycji.</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wytycznych Komisji Europejskiej </w:t>
      </w:r>
      <w:r w:rsidR="00E50448" w:rsidRPr="004E0F02">
        <w:rPr>
          <w:rFonts w:eastAsia="Calibri" w:cs="Times New Roman"/>
          <w:szCs w:val="24"/>
          <w:lang w:eastAsia="en-US"/>
        </w:rPr>
        <w:t xml:space="preserve">w  sprawie  zalecanych  licencji  standardowych,  zbiorów  danych i  opłat  za ponowne wykorzystanie dokumentów (2014/C 240/01) </w:t>
      </w:r>
      <w:r w:rsidRPr="004E0F02">
        <w:rPr>
          <w:rFonts w:eastAsia="Calibri" w:cs="Times New Roman"/>
          <w:szCs w:val="24"/>
          <w:lang w:eastAsia="en-US"/>
        </w:rPr>
        <w:t>wskazuje się, że zwrot</w:t>
      </w:r>
      <w:r w:rsidR="00E45B1D" w:rsidRPr="004E0F02">
        <w:rPr>
          <w:rFonts w:eastAsia="Calibri" w:cs="Times New Roman"/>
          <w:szCs w:val="24"/>
          <w:lang w:eastAsia="en-US"/>
        </w:rPr>
        <w:t xml:space="preserve"> z </w:t>
      </w:r>
      <w:r w:rsidRPr="004E0F02">
        <w:rPr>
          <w:rFonts w:eastAsia="Calibri" w:cs="Times New Roman"/>
          <w:szCs w:val="24"/>
          <w:lang w:eastAsia="en-US"/>
        </w:rPr>
        <w:t>inwestycji można rozumieć jako wartość procentową, oprócz kwalifikujących się kosztów, umożliwiającą pokrycie kosztów kapitału oraz uwzględnienie rzeczywistej stopu zwrotu (zysku).</w:t>
      </w:r>
      <w:r w:rsidR="00E45B1D" w:rsidRPr="004E0F02">
        <w:rPr>
          <w:rFonts w:eastAsia="Calibri" w:cs="Times New Roman"/>
          <w:szCs w:val="24"/>
          <w:lang w:eastAsia="en-US"/>
        </w:rPr>
        <w:t xml:space="preserve"> </w:t>
      </w:r>
      <w:r w:rsidR="00E50448" w:rsidRPr="004E0F02">
        <w:rPr>
          <w:rFonts w:eastAsia="Calibri" w:cs="Times New Roman"/>
          <w:szCs w:val="24"/>
          <w:lang w:eastAsia="en-US"/>
        </w:rPr>
        <w:t xml:space="preserve">Komisja Europejska wskazała w tym przypadku na koszty związane z utworzeniem danych (produkowanie: generowanie danych i metadanych, kontrola jakości, kodowanie; gromadzenie: zbieranie i sortowanie </w:t>
      </w:r>
      <w:r w:rsidR="00407A51" w:rsidRPr="004E0F02">
        <w:rPr>
          <w:rFonts w:eastAsia="Calibri" w:cs="Times New Roman"/>
          <w:szCs w:val="24"/>
          <w:lang w:eastAsia="en-US"/>
        </w:rPr>
        <w:t>danych: usuwanie</w:t>
      </w:r>
      <w:r w:rsidR="00E50448" w:rsidRPr="004E0F02">
        <w:rPr>
          <w:rFonts w:eastAsia="Calibri" w:cs="Times New Roman"/>
          <w:szCs w:val="24"/>
          <w:lang w:eastAsia="en-US"/>
        </w:rPr>
        <w:t>, zubażanie baz danych), koszty szeroko związane z dystrybucją (infrastruktura: tworzenie i konserwacja oprogramowania, konserwacja sprzętu, środki przekazu; powielanie: koszt dodatkowej kopii płyty DVD, klucza USB, karty SD itp.; obsługa: materiał opakowaniowy, przygotowanie zamówienia; konsultacje: rozmowy  telefoniczne i  wymiana  e-maili z  ponownymi  użytkownikami,  koszty obsługi klienta; dostarczenie: koszty  przesyłki,  łącznie  ze  standardowymi  przewoźnikami  przesyłek  lub  przesyłkami ekspresowymi), koszty typowe dla bibliotek,  muzeów i archiwów</w:t>
      </w:r>
      <w:r w:rsidR="00CE7E27" w:rsidRPr="004E0F02">
        <w:rPr>
          <w:rFonts w:eastAsia="Calibri" w:cs="Times New Roman"/>
          <w:szCs w:val="24"/>
          <w:lang w:eastAsia="en-US"/>
        </w:rPr>
        <w:t xml:space="preserve"> (ochrona: koszty przechowywania i magazynowania danych; ustalanie  praw: czas/wysiłek  zwią</w:t>
      </w:r>
      <w:r w:rsidR="00407A51" w:rsidRPr="004E0F02">
        <w:rPr>
          <w:rFonts w:eastAsia="Calibri" w:cs="Times New Roman"/>
          <w:szCs w:val="24"/>
          <w:lang w:eastAsia="en-US"/>
        </w:rPr>
        <w:t xml:space="preserve">zany z </w:t>
      </w:r>
      <w:r w:rsidR="00CE7E27" w:rsidRPr="004E0F02">
        <w:rPr>
          <w:rFonts w:eastAsia="Calibri" w:cs="Times New Roman"/>
          <w:szCs w:val="24"/>
          <w:lang w:eastAsia="en-US"/>
        </w:rPr>
        <w:t>identyfikacją  posiadaczy  praw i  uzyskaniem  od  nich pozwolenia)</w:t>
      </w:r>
      <w:r w:rsidR="00764830" w:rsidRPr="004E0F02">
        <w:rPr>
          <w:rFonts w:eastAsia="Calibri" w:cs="Times New Roman"/>
          <w:szCs w:val="24"/>
          <w:lang w:eastAsia="en-US"/>
        </w:rPr>
        <w:t>.</w:t>
      </w:r>
    </w:p>
    <w:p w14:paraId="650FBC75" w14:textId="35CA5F62" w:rsidR="00A42682" w:rsidRPr="004E0F02" w:rsidRDefault="00E45B1D"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 art. </w:t>
      </w:r>
      <w:r w:rsidR="00A42682" w:rsidRPr="004E0F02">
        <w:rPr>
          <w:rFonts w:eastAsia="Calibri" w:cs="Times New Roman"/>
          <w:szCs w:val="24"/>
          <w:lang w:eastAsia="en-US"/>
        </w:rPr>
        <w:t>1</w:t>
      </w:r>
      <w:r w:rsidRPr="004E0F02">
        <w:rPr>
          <w:rFonts w:eastAsia="Calibri" w:cs="Times New Roman"/>
          <w:szCs w:val="24"/>
          <w:lang w:eastAsia="en-US"/>
        </w:rPr>
        <w:t>9 ust. 2 </w:t>
      </w:r>
      <w:r w:rsidR="00A42682" w:rsidRPr="004E0F02">
        <w:rPr>
          <w:rFonts w:eastAsia="Calibri" w:cs="Times New Roman"/>
          <w:szCs w:val="24"/>
          <w:lang w:eastAsia="en-US"/>
        </w:rPr>
        <w:t xml:space="preserve">projektu ustawy proponuje się, aby </w:t>
      </w:r>
      <w:r w:rsidRPr="004E0F02">
        <w:rPr>
          <w:rFonts w:eastAsia="Calibri" w:cs="Times New Roman"/>
          <w:szCs w:val="24"/>
          <w:lang w:eastAsia="en-US"/>
        </w:rPr>
        <w:t>„</w:t>
      </w:r>
      <w:r w:rsidR="00A42682" w:rsidRPr="004E0F02">
        <w:rPr>
          <w:rFonts w:eastAsia="Calibri" w:cs="Times New Roman"/>
          <w:szCs w:val="24"/>
          <w:lang w:eastAsia="en-US"/>
        </w:rPr>
        <w:t>rozsądny zwrot</w:t>
      </w:r>
      <w:r w:rsidRPr="004E0F02">
        <w:rPr>
          <w:rFonts w:eastAsia="Calibri" w:cs="Times New Roman"/>
          <w:szCs w:val="24"/>
          <w:lang w:eastAsia="en-US"/>
        </w:rPr>
        <w:t xml:space="preserve"> z </w:t>
      </w:r>
      <w:r w:rsidR="00A42682" w:rsidRPr="004E0F02">
        <w:rPr>
          <w:rFonts w:eastAsia="Calibri" w:cs="Times New Roman"/>
          <w:szCs w:val="24"/>
          <w:lang w:eastAsia="en-US"/>
        </w:rPr>
        <w:t>inwestycji</w:t>
      </w:r>
      <w:r w:rsidRPr="004E0F02">
        <w:rPr>
          <w:rFonts w:eastAsia="Calibri" w:cs="Times New Roman"/>
          <w:szCs w:val="24"/>
          <w:lang w:eastAsia="en-US"/>
        </w:rPr>
        <w:t>”</w:t>
      </w:r>
      <w:r w:rsidR="00A42682" w:rsidRPr="004E0F02">
        <w:rPr>
          <w:rFonts w:eastAsia="Calibri" w:cs="Times New Roman"/>
          <w:szCs w:val="24"/>
          <w:lang w:eastAsia="en-US"/>
        </w:rPr>
        <w:t xml:space="preserve"> nie był wyższy niż </w:t>
      </w:r>
      <w:r w:rsidRPr="004E0F02">
        <w:rPr>
          <w:rFonts w:eastAsia="Calibri" w:cs="Times New Roman"/>
          <w:szCs w:val="24"/>
          <w:lang w:eastAsia="en-US"/>
        </w:rPr>
        <w:t>5 </w:t>
      </w:r>
      <w:r w:rsidR="00A42682" w:rsidRPr="004E0F02">
        <w:rPr>
          <w:rFonts w:eastAsia="Calibri" w:cs="Times New Roman"/>
          <w:szCs w:val="24"/>
          <w:lang w:eastAsia="en-US"/>
        </w:rPr>
        <w:t>punktów procentowych powyżej stopy referencyjnej Narodowego Banku Polskiego. Jednocześnie należy podkreślić, że zawsze do decyzji podmiotu zobowiązanego pozostaje możliwość odstąpienia od powyższej reguły</w:t>
      </w:r>
      <w:r w:rsidRPr="004E0F02">
        <w:rPr>
          <w:rFonts w:eastAsia="Calibri" w:cs="Times New Roman"/>
          <w:szCs w:val="24"/>
          <w:lang w:eastAsia="en-US"/>
        </w:rPr>
        <w:t xml:space="preserve"> i </w:t>
      </w:r>
      <w:r w:rsidR="00A42682" w:rsidRPr="004E0F02">
        <w:rPr>
          <w:rFonts w:eastAsia="Calibri" w:cs="Times New Roman"/>
          <w:szCs w:val="24"/>
          <w:lang w:eastAsia="en-US"/>
        </w:rPr>
        <w:t>ustalenia opłaty ograniczonej do kosztów wskazanych</w:t>
      </w:r>
      <w:r w:rsidRPr="004E0F02">
        <w:rPr>
          <w:rFonts w:eastAsia="Calibri" w:cs="Times New Roman"/>
          <w:szCs w:val="24"/>
          <w:lang w:eastAsia="en-US"/>
        </w:rPr>
        <w:t xml:space="preserve"> w art. </w:t>
      </w:r>
      <w:r w:rsidR="00A42682" w:rsidRPr="004E0F02">
        <w:rPr>
          <w:rFonts w:eastAsia="Calibri" w:cs="Times New Roman"/>
          <w:szCs w:val="24"/>
          <w:lang w:eastAsia="en-US"/>
        </w:rPr>
        <w:t>1</w:t>
      </w:r>
      <w:r w:rsidRPr="004E0F02">
        <w:rPr>
          <w:rFonts w:eastAsia="Calibri" w:cs="Times New Roman"/>
          <w:szCs w:val="24"/>
          <w:lang w:eastAsia="en-US"/>
        </w:rPr>
        <w:t>8 </w:t>
      </w:r>
      <w:r w:rsidR="00A42682" w:rsidRPr="004E0F02">
        <w:rPr>
          <w:rFonts w:eastAsia="Calibri" w:cs="Times New Roman"/>
          <w:szCs w:val="24"/>
          <w:lang w:eastAsia="en-US"/>
        </w:rPr>
        <w:t>projektu ustawy bez względu na cel ponownego wykorzystywania.</w:t>
      </w:r>
    </w:p>
    <w:p w14:paraId="27BDC772" w14:textId="51FEDEC5"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lastRenderedPageBreak/>
        <w:t>Przepis</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9 ust. 3 </w:t>
      </w:r>
      <w:r w:rsidRPr="004E0F02">
        <w:rPr>
          <w:rFonts w:eastAsia="Calibri" w:cs="Times New Roman"/>
          <w:szCs w:val="24"/>
          <w:lang w:eastAsia="en-US"/>
        </w:rPr>
        <w:t>projektu ustawy zawiera upoważnienie dla ministra właściwego do spraw kultury</w:t>
      </w:r>
      <w:r w:rsidR="00E45B1D" w:rsidRPr="004E0F02">
        <w:rPr>
          <w:rFonts w:eastAsia="Calibri" w:cs="Times New Roman"/>
          <w:szCs w:val="24"/>
          <w:lang w:eastAsia="en-US"/>
        </w:rPr>
        <w:t xml:space="preserve"> i </w:t>
      </w:r>
      <w:r w:rsidRPr="004E0F02">
        <w:rPr>
          <w:rFonts w:eastAsia="Calibri" w:cs="Times New Roman"/>
          <w:szCs w:val="24"/>
          <w:lang w:eastAsia="en-US"/>
        </w:rPr>
        <w:t>ochrony dziedzictwa narodowego do określenia,</w:t>
      </w:r>
      <w:r w:rsidR="00E45B1D" w:rsidRPr="004E0F02">
        <w:rPr>
          <w:rFonts w:eastAsia="Calibri" w:cs="Times New Roman"/>
          <w:szCs w:val="24"/>
          <w:lang w:eastAsia="en-US"/>
        </w:rPr>
        <w:t xml:space="preserve"> w </w:t>
      </w:r>
      <w:r w:rsidRPr="004E0F02">
        <w:rPr>
          <w:rFonts w:eastAsia="Calibri" w:cs="Times New Roman"/>
          <w:szCs w:val="24"/>
          <w:lang w:eastAsia="en-US"/>
        </w:rPr>
        <w:t>porozumieniu</w:t>
      </w:r>
      <w:r w:rsidR="00E45B1D" w:rsidRPr="004E0F02">
        <w:rPr>
          <w:rFonts w:eastAsia="Calibri" w:cs="Times New Roman"/>
          <w:szCs w:val="24"/>
          <w:lang w:eastAsia="en-US"/>
        </w:rPr>
        <w:t xml:space="preserve"> z </w:t>
      </w:r>
      <w:r w:rsidRPr="004E0F02">
        <w:rPr>
          <w:rFonts w:eastAsia="Calibri" w:cs="Times New Roman"/>
          <w:szCs w:val="24"/>
          <w:lang w:eastAsia="en-US"/>
        </w:rPr>
        <w:t>ministrem właściwym do spraw informatyzacji, maksymalnych stawek opłat możliwych do pobierania przez podmioty zobowiązane będące muzeami państwowymi lub muzeami samorządowymi, za udostępnianie informacji sektora publicznego do ponownego wykorzystywania ograniczonych do kosztów gromadzenia, produkowania, reprodukowania, rozpowszechniania, ochrony</w:t>
      </w:r>
      <w:r w:rsidR="00E45B1D" w:rsidRPr="004E0F02">
        <w:rPr>
          <w:rFonts w:eastAsia="Calibri" w:cs="Times New Roman"/>
          <w:szCs w:val="24"/>
          <w:lang w:eastAsia="en-US"/>
        </w:rPr>
        <w:t xml:space="preserve"> i </w:t>
      </w:r>
      <w:r w:rsidRPr="004E0F02">
        <w:rPr>
          <w:rFonts w:eastAsia="Calibri" w:cs="Times New Roman"/>
          <w:szCs w:val="24"/>
          <w:lang w:eastAsia="en-US"/>
        </w:rPr>
        <w:t>ustalania praw wraz z rozsądnym zwrotem</w:t>
      </w:r>
      <w:r w:rsidR="00E45B1D" w:rsidRPr="004E0F02">
        <w:rPr>
          <w:rFonts w:eastAsia="Calibri" w:cs="Times New Roman"/>
          <w:szCs w:val="24"/>
          <w:lang w:eastAsia="en-US"/>
        </w:rPr>
        <w:t xml:space="preserve"> z </w:t>
      </w:r>
      <w:r w:rsidRPr="004E0F02">
        <w:rPr>
          <w:rFonts w:eastAsia="Calibri" w:cs="Times New Roman"/>
          <w:szCs w:val="24"/>
          <w:lang w:eastAsia="en-US"/>
        </w:rPr>
        <w:t>inwestycji.</w:t>
      </w:r>
    </w:p>
    <w:p w14:paraId="36992C51" w14:textId="454622F7"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w:t>
      </w:r>
      <w:r w:rsidR="00E45B1D" w:rsidRPr="004E0F02">
        <w:rPr>
          <w:rFonts w:eastAsia="Calibri" w:cs="Times New Roman"/>
          <w:szCs w:val="24"/>
          <w:lang w:eastAsia="en-US"/>
        </w:rPr>
        <w:t xml:space="preserve"> art. </w:t>
      </w:r>
      <w:r w:rsidRPr="004E0F02">
        <w:rPr>
          <w:rFonts w:eastAsia="Calibri" w:cs="Times New Roman"/>
          <w:szCs w:val="24"/>
          <w:lang w:eastAsia="en-US"/>
        </w:rPr>
        <w:t>2</w:t>
      </w:r>
      <w:r w:rsidR="00E45B1D" w:rsidRPr="004E0F02">
        <w:rPr>
          <w:rFonts w:eastAsia="Calibri" w:cs="Times New Roman"/>
          <w:szCs w:val="24"/>
          <w:lang w:eastAsia="en-US"/>
        </w:rPr>
        <w:t>0 </w:t>
      </w:r>
      <w:r w:rsidRPr="004E0F02">
        <w:rPr>
          <w:rFonts w:eastAsia="Calibri" w:cs="Times New Roman"/>
          <w:szCs w:val="24"/>
          <w:lang w:eastAsia="en-US"/>
        </w:rPr>
        <w:t>projektu ustawy uregulowano kwestię nakładania opłat odzwierciedlających koszty wynikające</w:t>
      </w:r>
      <w:r w:rsidR="00E45B1D" w:rsidRPr="004E0F02">
        <w:rPr>
          <w:rFonts w:eastAsia="Calibri" w:cs="Times New Roman"/>
          <w:szCs w:val="24"/>
          <w:lang w:eastAsia="en-US"/>
        </w:rPr>
        <w:t xml:space="preserve"> z </w:t>
      </w:r>
      <w:r w:rsidRPr="004E0F02">
        <w:rPr>
          <w:rFonts w:eastAsia="Calibri" w:cs="Times New Roman"/>
          <w:szCs w:val="24"/>
          <w:lang w:eastAsia="en-US"/>
        </w:rPr>
        <w:t>dostosowania systemu teleinformatycznego oraz warunków technicznych i organizacyjnych do realizacji wniosku</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w:t>
      </w:r>
      <w:r w:rsidR="00E45B1D" w:rsidRPr="004E0F02">
        <w:rPr>
          <w:rFonts w:eastAsia="Calibri" w:cs="Times New Roman"/>
          <w:szCs w:val="24"/>
          <w:lang w:eastAsia="en-US"/>
        </w:rPr>
        <w:t xml:space="preserve"> w </w:t>
      </w:r>
      <w:r w:rsidRPr="004E0F02">
        <w:rPr>
          <w:rFonts w:eastAsia="Calibri" w:cs="Times New Roman"/>
          <w:szCs w:val="24"/>
          <w:lang w:eastAsia="en-US"/>
        </w:rPr>
        <w:t>sposób stały i</w:t>
      </w:r>
      <w:r w:rsidR="00E37DE9" w:rsidRPr="004E0F02">
        <w:rPr>
          <w:rFonts w:eastAsia="Calibri" w:cs="Times New Roman"/>
          <w:szCs w:val="24"/>
          <w:lang w:eastAsia="en-US"/>
        </w:rPr>
        <w:t> </w:t>
      </w:r>
      <w:r w:rsidRPr="004E0F02">
        <w:rPr>
          <w:rFonts w:eastAsia="Calibri" w:cs="Times New Roman"/>
          <w:szCs w:val="24"/>
          <w:lang w:eastAsia="en-US"/>
        </w:rPr>
        <w:t>bezpośredni w czasie rzeczywistym informacji sektora publicznego gromadzonych i</w:t>
      </w:r>
      <w:r w:rsidR="00E37DE9" w:rsidRPr="004E0F02">
        <w:rPr>
          <w:rFonts w:eastAsia="Calibri" w:cs="Times New Roman"/>
          <w:szCs w:val="24"/>
          <w:lang w:eastAsia="en-US"/>
        </w:rPr>
        <w:t> </w:t>
      </w:r>
      <w:r w:rsidRPr="004E0F02">
        <w:rPr>
          <w:rFonts w:eastAsia="Calibri" w:cs="Times New Roman"/>
          <w:szCs w:val="24"/>
          <w:lang w:eastAsia="en-US"/>
        </w:rPr>
        <w:t>przechowywanych</w:t>
      </w:r>
      <w:r w:rsidR="00E45B1D" w:rsidRPr="004E0F02">
        <w:rPr>
          <w:rFonts w:eastAsia="Calibri" w:cs="Times New Roman"/>
          <w:szCs w:val="24"/>
          <w:lang w:eastAsia="en-US"/>
        </w:rPr>
        <w:t xml:space="preserve"> w </w:t>
      </w:r>
      <w:r w:rsidRPr="004E0F02">
        <w:rPr>
          <w:rFonts w:eastAsia="Calibri" w:cs="Times New Roman"/>
          <w:szCs w:val="24"/>
          <w:lang w:eastAsia="en-US"/>
        </w:rPr>
        <w:t>systemie teleinformatycznym podmiotu zobowiązanego (wnios</w:t>
      </w:r>
      <w:r w:rsidR="00E37DE9" w:rsidRPr="004E0F02">
        <w:rPr>
          <w:rFonts w:eastAsia="Calibri" w:cs="Times New Roman"/>
          <w:szCs w:val="24"/>
          <w:lang w:eastAsia="en-US"/>
        </w:rPr>
        <w:t>ek</w:t>
      </w:r>
      <w:r w:rsidRPr="004E0F02">
        <w:rPr>
          <w:rFonts w:eastAsia="Calibri" w:cs="Times New Roman"/>
          <w:szCs w:val="24"/>
          <w:lang w:eastAsia="en-US"/>
        </w:rPr>
        <w:t>, którym mowa</w:t>
      </w:r>
      <w:r w:rsidR="00E45B1D" w:rsidRPr="004E0F02">
        <w:rPr>
          <w:rFonts w:eastAsia="Calibri" w:cs="Times New Roman"/>
          <w:szCs w:val="24"/>
          <w:lang w:eastAsia="en-US"/>
        </w:rPr>
        <w:t xml:space="preserve"> w art. </w:t>
      </w:r>
      <w:r w:rsidRPr="004E0F02">
        <w:rPr>
          <w:rFonts w:eastAsia="Calibri" w:cs="Times New Roman"/>
          <w:szCs w:val="24"/>
          <w:lang w:eastAsia="en-US"/>
        </w:rPr>
        <w:t>3</w:t>
      </w:r>
      <w:r w:rsidR="00E45B1D" w:rsidRPr="004E0F02">
        <w:rPr>
          <w:rFonts w:eastAsia="Calibri" w:cs="Times New Roman"/>
          <w:szCs w:val="24"/>
          <w:lang w:eastAsia="en-US"/>
        </w:rPr>
        <w:t>8 ust. 2 </w:t>
      </w:r>
      <w:r w:rsidRPr="004E0F02">
        <w:rPr>
          <w:rFonts w:eastAsia="Calibri" w:cs="Times New Roman"/>
          <w:szCs w:val="24"/>
          <w:lang w:eastAsia="en-US"/>
        </w:rPr>
        <w:t>projektu ustawy). Podkreślić przy tym należy, że przepisy dotyczące możliwości nakładania opłat,</w:t>
      </w:r>
      <w:r w:rsidR="00E45B1D" w:rsidRPr="004E0F02">
        <w:rPr>
          <w:rFonts w:eastAsia="Calibri" w:cs="Times New Roman"/>
          <w:szCs w:val="24"/>
          <w:lang w:eastAsia="en-US"/>
        </w:rPr>
        <w:t xml:space="preserve"> o </w:t>
      </w:r>
      <w:r w:rsidRPr="004E0F02">
        <w:rPr>
          <w:rFonts w:eastAsia="Calibri" w:cs="Times New Roman"/>
          <w:szCs w:val="24"/>
          <w:lang w:eastAsia="en-US"/>
        </w:rPr>
        <w:t>jakich mowa powyżej, nie mają zastosowania do</w:t>
      </w:r>
      <w:r w:rsidR="00E37DE9" w:rsidRPr="004E0F02">
        <w:rPr>
          <w:rFonts w:eastAsia="Calibri" w:cs="Times New Roman"/>
          <w:szCs w:val="24"/>
          <w:lang w:eastAsia="en-US"/>
        </w:rPr>
        <w:t> </w:t>
      </w:r>
      <w:r w:rsidRPr="004E0F02">
        <w:rPr>
          <w:rFonts w:eastAsia="Calibri" w:cs="Times New Roman"/>
          <w:szCs w:val="24"/>
          <w:lang w:eastAsia="en-US"/>
        </w:rPr>
        <w:t>udostępnionych poprzez API danych dynamicznych</w:t>
      </w:r>
      <w:r w:rsidR="00E45B1D" w:rsidRPr="004E0F02">
        <w:rPr>
          <w:rFonts w:eastAsia="Calibri" w:cs="Times New Roman"/>
          <w:szCs w:val="24"/>
          <w:lang w:eastAsia="en-US"/>
        </w:rPr>
        <w:t xml:space="preserve"> i </w:t>
      </w:r>
      <w:r w:rsidRPr="004E0F02">
        <w:rPr>
          <w:rFonts w:eastAsia="Calibri" w:cs="Times New Roman"/>
          <w:szCs w:val="24"/>
          <w:lang w:eastAsia="en-US"/>
        </w:rPr>
        <w:t>danych o wysokiej wartości, zgodnie</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przepisami rozdziału </w:t>
      </w:r>
      <w:r w:rsidR="00E45B1D" w:rsidRPr="004E0F02">
        <w:rPr>
          <w:rFonts w:eastAsia="Calibri" w:cs="Times New Roman"/>
          <w:szCs w:val="24"/>
          <w:lang w:eastAsia="en-US"/>
        </w:rPr>
        <w:t>5 </w:t>
      </w:r>
      <w:r w:rsidRPr="004E0F02">
        <w:rPr>
          <w:rFonts w:eastAsia="Calibri" w:cs="Times New Roman"/>
          <w:szCs w:val="24"/>
          <w:lang w:eastAsia="en-US"/>
        </w:rPr>
        <w:t>projektu ustawy.</w:t>
      </w:r>
    </w:p>
    <w:p w14:paraId="2D45F957" w14:textId="14669BCE"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Nakładanie opłat zawsze musi spełniać wymagania określone zgodnie</w:t>
      </w:r>
      <w:r w:rsidR="00E45B1D" w:rsidRPr="004E0F02">
        <w:rPr>
          <w:rFonts w:eastAsia="Calibri" w:cs="Times New Roman"/>
          <w:szCs w:val="24"/>
          <w:lang w:eastAsia="en-US"/>
        </w:rPr>
        <w:t xml:space="preserve"> z </w:t>
      </w:r>
      <w:r w:rsidRPr="004E0F02">
        <w:rPr>
          <w:rFonts w:eastAsia="Calibri" w:cs="Times New Roman"/>
          <w:szCs w:val="24"/>
          <w:lang w:eastAsia="en-US"/>
        </w:rPr>
        <w:t>zasadą przejrzystości. Ponadto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2</w:t>
      </w:r>
      <w:r w:rsidR="00E45B1D" w:rsidRPr="004E0F02">
        <w:rPr>
          <w:rFonts w:eastAsia="Calibri" w:cs="Times New Roman"/>
          <w:szCs w:val="24"/>
          <w:lang w:eastAsia="en-US"/>
        </w:rPr>
        <w:t>1 </w:t>
      </w:r>
      <w:r w:rsidRPr="004E0F02">
        <w:rPr>
          <w:rFonts w:eastAsia="Calibri" w:cs="Times New Roman"/>
          <w:szCs w:val="24"/>
          <w:lang w:eastAsia="en-US"/>
        </w:rPr>
        <w:t>projektu ustawy podmiot zobowiązany, na żądanie wnioskodawcy, będzie zobligowany wskazać sposób obliczenia opłat</w:t>
      </w:r>
      <w:r w:rsidR="00E45B1D" w:rsidRPr="004E0F02">
        <w:rPr>
          <w:rFonts w:eastAsia="Calibri" w:cs="Times New Roman"/>
          <w:szCs w:val="24"/>
          <w:lang w:eastAsia="en-US"/>
        </w:rPr>
        <w:t xml:space="preserve"> w </w:t>
      </w:r>
      <w:r w:rsidRPr="004E0F02">
        <w:rPr>
          <w:rFonts w:eastAsia="Calibri" w:cs="Times New Roman"/>
          <w:szCs w:val="24"/>
          <w:lang w:eastAsia="en-US"/>
        </w:rPr>
        <w:t>odniesieniu do</w:t>
      </w:r>
      <w:r w:rsidR="00E37DE9" w:rsidRPr="004E0F02">
        <w:rPr>
          <w:rFonts w:eastAsia="Calibri" w:cs="Times New Roman"/>
          <w:szCs w:val="24"/>
          <w:lang w:eastAsia="en-US"/>
        </w:rPr>
        <w:t> </w:t>
      </w:r>
      <w:r w:rsidRPr="004E0F02">
        <w:rPr>
          <w:rFonts w:eastAsia="Calibri" w:cs="Times New Roman"/>
          <w:szCs w:val="24"/>
          <w:lang w:eastAsia="en-US"/>
        </w:rPr>
        <w:t>konkretnego wniosku o ponowne wykorzystywanie.</w:t>
      </w:r>
    </w:p>
    <w:p w14:paraId="707B573E" w14:textId="7F513FB2" w:rsidR="00A42682" w:rsidRPr="004E0F02" w:rsidRDefault="00A42682" w:rsidP="00A42682">
      <w:pPr>
        <w:widowControl/>
        <w:spacing w:after="120" w:line="276" w:lineRule="auto"/>
        <w:jc w:val="both"/>
        <w:rPr>
          <w:rFonts w:eastAsia="Calibri" w:cs="Times New Roman"/>
          <w:b/>
          <w:szCs w:val="24"/>
          <w:lang w:eastAsia="en-US"/>
        </w:rPr>
      </w:pPr>
      <w:r w:rsidRPr="004E0F02">
        <w:rPr>
          <w:rFonts w:eastAsia="Calibri" w:cs="Times New Roman"/>
          <w:b/>
          <w:szCs w:val="24"/>
          <w:lang w:eastAsia="en-US"/>
        </w:rPr>
        <w:t>Rozdział 5.</w:t>
      </w:r>
      <w:r w:rsidRPr="004E0F02">
        <w:rPr>
          <w:rFonts w:eastAsia="Calibri" w:cs="Times New Roman"/>
          <w:szCs w:val="24"/>
          <w:lang w:eastAsia="en-US"/>
        </w:rPr>
        <w:t xml:space="preserve"> </w:t>
      </w:r>
      <w:r w:rsidRPr="004E0F02">
        <w:rPr>
          <w:rFonts w:eastAsia="Calibri" w:cs="Times New Roman"/>
          <w:b/>
          <w:szCs w:val="24"/>
          <w:lang w:eastAsia="en-US"/>
        </w:rPr>
        <w:t>Dane</w:t>
      </w:r>
      <w:r w:rsidR="00E45B1D" w:rsidRPr="004E0F02">
        <w:rPr>
          <w:rFonts w:eastAsia="Calibri" w:cs="Times New Roman"/>
          <w:b/>
          <w:szCs w:val="24"/>
          <w:lang w:eastAsia="en-US"/>
        </w:rPr>
        <w:t xml:space="preserve"> o </w:t>
      </w:r>
      <w:r w:rsidRPr="004E0F02">
        <w:rPr>
          <w:rFonts w:eastAsia="Calibri" w:cs="Times New Roman"/>
          <w:b/>
          <w:szCs w:val="24"/>
          <w:lang w:eastAsia="en-US"/>
        </w:rPr>
        <w:t>wysokiej wartości, dane dynamiczne</w:t>
      </w:r>
      <w:r w:rsidR="00E45B1D" w:rsidRPr="004E0F02">
        <w:rPr>
          <w:rFonts w:eastAsia="Calibri" w:cs="Times New Roman"/>
          <w:b/>
          <w:szCs w:val="24"/>
          <w:lang w:eastAsia="en-US"/>
        </w:rPr>
        <w:t xml:space="preserve"> i </w:t>
      </w:r>
      <w:r w:rsidRPr="004E0F02">
        <w:rPr>
          <w:rFonts w:eastAsia="Calibri" w:cs="Times New Roman"/>
          <w:b/>
          <w:szCs w:val="24"/>
          <w:lang w:eastAsia="en-US"/>
        </w:rPr>
        <w:t>dane badawcze.</w:t>
      </w:r>
    </w:p>
    <w:p w14:paraId="46CEE128" w14:textId="6355610F"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Jedną</w:t>
      </w:r>
      <w:r w:rsidR="00E45B1D" w:rsidRPr="004E0F02">
        <w:rPr>
          <w:rFonts w:eastAsia="Calibri" w:cs="Times New Roman"/>
          <w:szCs w:val="24"/>
          <w:lang w:eastAsia="en-US"/>
        </w:rPr>
        <w:t xml:space="preserve"> z </w:t>
      </w:r>
      <w:r w:rsidRPr="004E0F02">
        <w:rPr>
          <w:rFonts w:eastAsia="Calibri" w:cs="Times New Roman"/>
          <w:szCs w:val="24"/>
          <w:lang w:eastAsia="en-US"/>
        </w:rPr>
        <w:t>kluczowych zmian wprowadzonych dyrektywą 2019/1024/UE jest wyodrębnienie spośród informacji sektora publicznego szczególnych kategorii danych, tj. danych</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 oraz danych dynamicznych,</w:t>
      </w:r>
      <w:r w:rsidR="00E45B1D" w:rsidRPr="004E0F02">
        <w:rPr>
          <w:rFonts w:eastAsia="Calibri" w:cs="Times New Roman"/>
          <w:szCs w:val="24"/>
          <w:lang w:eastAsia="en-US"/>
        </w:rPr>
        <w:t xml:space="preserve"> a </w:t>
      </w:r>
      <w:r w:rsidRPr="004E0F02">
        <w:rPr>
          <w:rFonts w:eastAsia="Calibri" w:cs="Times New Roman"/>
          <w:szCs w:val="24"/>
          <w:lang w:eastAsia="en-US"/>
        </w:rPr>
        <w:t>także objęcie regulacjami ponownego wykorzystywania danych badawczych spełniających określone</w:t>
      </w:r>
      <w:r w:rsidR="00E45B1D" w:rsidRPr="004E0F02">
        <w:rPr>
          <w:rFonts w:eastAsia="Calibri" w:cs="Times New Roman"/>
          <w:szCs w:val="24"/>
          <w:lang w:eastAsia="en-US"/>
        </w:rPr>
        <w:t xml:space="preserve"> w </w:t>
      </w:r>
      <w:r w:rsidRPr="004E0F02">
        <w:rPr>
          <w:rFonts w:eastAsia="Calibri" w:cs="Times New Roman"/>
          <w:szCs w:val="24"/>
          <w:lang w:eastAsia="en-US"/>
        </w:rPr>
        <w:t>dyrektywie warunki.</w:t>
      </w:r>
    </w:p>
    <w:p w14:paraId="09A08A49" w14:textId="77777777"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Dane badawcze.</w:t>
      </w:r>
    </w:p>
    <w:p w14:paraId="7C17B5AF" w14:textId="77777777" w:rsidR="00C1245A" w:rsidRPr="004E0F02" w:rsidRDefault="00C1245A" w:rsidP="00C1245A">
      <w:pPr>
        <w:widowControl/>
        <w:spacing w:after="120" w:line="276" w:lineRule="auto"/>
        <w:jc w:val="both"/>
        <w:rPr>
          <w:rFonts w:eastAsia="Times New Roman" w:cs="Times New Roman"/>
          <w:szCs w:val="24"/>
        </w:rPr>
      </w:pPr>
      <w:r w:rsidRPr="004E0F02">
        <w:rPr>
          <w:rFonts w:eastAsia="Times New Roman" w:cs="Times New Roman"/>
          <w:szCs w:val="24"/>
        </w:rPr>
        <w:t xml:space="preserve">Dyrektywa 2019/1024/UE objęła swoim zakresem kategorię danych badawczych spełniających określone w dyrektywie warunki. Stanowi to nowość w porównaniu z dotychczasowymi rozwiązaniami, które zakładały całościowe wyłączenie tego rodzaju informacji z zakresu obowiązywania przepisów regulujących ponowne wykorzystywanie informacji sektora publicznego. Obowiązująca dotychczas dyrektywa 2003/98/WE nie znajdowała zastosowania do dokumentów będących w posiadaniu instytucji edukacyjnych i badawczych, w tym organizacji ustanowionych w celu przekazywania wyników badań, szkół i uniwersytetów, z wyłączeniem bibliotek uniwersyteckich. Na gruncie prawa krajowego prowadziło to do wyłączenia stosowania przepisów ustawy z 2016 r. w stosunku do podmiotów, o których mowa w art. 7 ust. 1 ustawy </w:t>
      </w:r>
      <w:r w:rsidRPr="004E0F02">
        <w:rPr>
          <w:rFonts w:eastAsia="Times New Roman" w:cs="Times New Roman"/>
          <w:szCs w:val="24"/>
        </w:rPr>
        <w:noBreakHyphen/>
        <w:t xml:space="preserve"> Prawo o szkolnictwie wyższym i nauce, w tym m.in. uczelni, instytutów naukowych Państwowej Akademii Nauk, instytutów badawczych itd. Wyjątek dotyczył bibliotek naukowych w rozumieniu przepisów ustawy z dnia 27 czerwca 1997 r. o bibliotekach (Dz. U. z 2019 r. poz. 1479) oraz dwóch państwowych instytutów badawczych </w:t>
      </w:r>
      <w:r w:rsidRPr="004E0F02">
        <w:rPr>
          <w:rFonts w:eastAsia="Times New Roman" w:cs="Times New Roman"/>
          <w:szCs w:val="24"/>
        </w:rPr>
        <w:noBreakHyphen/>
        <w:t xml:space="preserve"> Instytutu Meteorologii i Gospodarki Wodnej (IMGW</w:t>
      </w:r>
      <w:r w:rsidRPr="004E0F02">
        <w:rPr>
          <w:rFonts w:eastAsia="Times New Roman" w:cs="Times New Roman"/>
          <w:szCs w:val="24"/>
        </w:rPr>
        <w:softHyphen/>
      </w:r>
      <w:r w:rsidRPr="004E0F02">
        <w:rPr>
          <w:rFonts w:eastAsia="Times New Roman" w:cs="Times New Roman"/>
          <w:szCs w:val="24"/>
        </w:rPr>
        <w:noBreakHyphen/>
        <w:t>PIB) oraz Państwowego Instytutu Geologicznego (PIG</w:t>
      </w:r>
      <w:r w:rsidRPr="004E0F02">
        <w:rPr>
          <w:rFonts w:eastAsia="Times New Roman" w:cs="Times New Roman"/>
          <w:szCs w:val="24"/>
        </w:rPr>
        <w:softHyphen/>
      </w:r>
      <w:r w:rsidRPr="004E0F02">
        <w:rPr>
          <w:rFonts w:eastAsia="Times New Roman" w:cs="Times New Roman"/>
          <w:szCs w:val="24"/>
        </w:rPr>
        <w:noBreakHyphen/>
        <w:t>PIB). Wskazane podmioty nie podlegały wyłączeniu spod regulacji ustawy.</w:t>
      </w:r>
    </w:p>
    <w:p w14:paraId="34A1E220" w14:textId="77777777" w:rsidR="00C1245A" w:rsidRPr="004E0F02" w:rsidRDefault="00C1245A" w:rsidP="00C1245A">
      <w:pPr>
        <w:widowControl/>
        <w:spacing w:before="240" w:after="120" w:line="276" w:lineRule="auto"/>
        <w:jc w:val="both"/>
        <w:rPr>
          <w:rFonts w:eastAsia="Times New Roman" w:cs="Times New Roman"/>
          <w:szCs w:val="24"/>
        </w:rPr>
      </w:pPr>
      <w:r w:rsidRPr="004E0F02">
        <w:rPr>
          <w:rFonts w:eastAsia="Times New Roman" w:cs="Times New Roman"/>
          <w:szCs w:val="24"/>
        </w:rPr>
        <w:lastRenderedPageBreak/>
        <w:t>Dyrektywa 2019/1024/UE zgodnie z art. 1 ust. 1 lit. c objęła zakresem swoich regulacji również dane badawcze z zastrzeżeniem jednakże, że dotyczy to wyłącznie danych spełniających warunki określone w art. 10 dyrektywy. Zgodnie z powyższym obowiązek udostępniania do ponownego wykorzystywania w celach komercyjnych lub niekomercyjnych (z uwzględnieniem uzasadnionych interesów handlowych, działań związanych z transferem wiedzy oraz istniejących już praw własności intelektualnej) dotyczy tylko tych danych badawczych, które są finansowane ze środków publicznych i zostały już publicznie udostępnione przez naukowców, organizacje prowadzące badania naukowe lub organizacje finansujące badania naukowe za pośrednictwem repozytorium instytucjonalnego lub tematycznego.</w:t>
      </w:r>
    </w:p>
    <w:p w14:paraId="710BFBC4" w14:textId="77777777" w:rsidR="00C1245A" w:rsidRPr="004E0F02" w:rsidRDefault="00C1245A" w:rsidP="00C1245A">
      <w:pPr>
        <w:widowControl/>
        <w:spacing w:before="240" w:after="120" w:line="276" w:lineRule="auto"/>
        <w:jc w:val="both"/>
        <w:rPr>
          <w:rFonts w:eastAsia="Times New Roman" w:cs="Times New Roman"/>
          <w:szCs w:val="24"/>
        </w:rPr>
      </w:pPr>
      <w:r w:rsidRPr="004E0F02">
        <w:rPr>
          <w:rFonts w:eastAsia="Times New Roman" w:cs="Times New Roman"/>
          <w:szCs w:val="24"/>
        </w:rPr>
        <w:t xml:space="preserve">Zgodnie z art. 1 ust. 2 lit. l dyrektywy 2019/1024/UE nie znajduje ona zastosowania do dokumentów innych niż te, o których mowa w ust. 1 lit. c, będących w posiadaniu organizacji prowadzących badania naukowe i organizacji finansujących badania naukowe. Mając na uwadze powyższe w art. 4 ust. 1 pkt 3 projektu ustawy, stosownie do dotychczasowych rozwiązań, wyłączono z zakresu regulacyjnego ustawy podmioty, o których mowa w art. 7 ust. 1 ustawy </w:t>
      </w:r>
      <w:r w:rsidRPr="004E0F02">
        <w:rPr>
          <w:rFonts w:eastAsia="Times New Roman" w:cs="Times New Roman"/>
          <w:szCs w:val="24"/>
        </w:rPr>
        <w:noBreakHyphen/>
        <w:t xml:space="preserve"> Prawo o szkolnictwie wyższym i nauce. Jednocześnie jednak w drodze wyjątku od wskazanego wyłączenia, ponownemu wykorzystywaniu podlegać będą dane badawcze spełniające warunki, o których w art. 22 projektu ustawy. </w:t>
      </w:r>
    </w:p>
    <w:p w14:paraId="416CC0AA" w14:textId="56437607" w:rsidR="00C1245A" w:rsidRPr="004E0F02" w:rsidRDefault="00C1245A" w:rsidP="00C1245A">
      <w:pPr>
        <w:widowControl/>
        <w:spacing w:before="240" w:after="120" w:line="276" w:lineRule="auto"/>
        <w:jc w:val="both"/>
        <w:rPr>
          <w:rFonts w:eastAsia="Times New Roman" w:cs="Times New Roman"/>
          <w:szCs w:val="24"/>
        </w:rPr>
      </w:pPr>
      <w:r w:rsidRPr="004E0F02">
        <w:rPr>
          <w:rFonts w:eastAsia="Times New Roman" w:cs="Times New Roman"/>
          <w:szCs w:val="24"/>
        </w:rPr>
        <w:t xml:space="preserve">Zgodnie z art. 22 projektu, na zasadach przewidzianych w ustawie, ponownemu wykorzystywaniu podlegać będą dane badawcze, będące w posiadaniu podmiotów, o których mowa w art. 7 ust.  1 ustawy z dnia 20 lipca 2018 r. – Prawo o szkolnictwie wyższym i nauce, które są finansowane ze środków publicznych oraz zostały już publicznie udostępnione systemie teleinformatycznym podmiotu zobowiązanego, w szczególności w repozytorium instytucjonalnym lub tematycznym. Ponadto wykorzystywanie danych badawczych, spełniających powyższe kryteria, będzie bezpłatne. Art. 22 projektu ustawy implementuje art. 10 ust. 2 dyrektywy 2019/1024/UE. </w:t>
      </w:r>
    </w:p>
    <w:p w14:paraId="7F5CBFA4" w14:textId="4DC725ED" w:rsidR="00A42682" w:rsidRPr="004E0F02" w:rsidRDefault="00DC7C9B" w:rsidP="00C74BD9">
      <w:pPr>
        <w:widowControl/>
        <w:spacing w:before="240" w:after="120" w:line="276" w:lineRule="auto"/>
        <w:jc w:val="both"/>
        <w:rPr>
          <w:rFonts w:eastAsia="Times New Roman" w:cs="Times New Roman"/>
          <w:szCs w:val="24"/>
        </w:rPr>
      </w:pPr>
      <w:r w:rsidRPr="004E0F02">
        <w:rPr>
          <w:rFonts w:eastAsia="Times New Roman" w:cs="Times New Roman"/>
          <w:szCs w:val="24"/>
        </w:rPr>
        <w:t xml:space="preserve">Dane badawcze spełniające warunki, o których mowa w art. 22 projektu ustawy, należy zatem uznać za kolejny, obok już istniejących, wyjątków od generalnego wyłączenia z regulacji ustawy ISP będących w posiadaniu podmiotów sektora nauki. W tym rozumieniu dane badawcze należy uznać za szczególny rodzaj ISP, które po spełnieniu warunków, o których mowa w art. 22 projektu będą (na zasadzie wyjątku) podlegać ponownemu wykorzystywaniu. Pozostałe informacje będące w posiadaniu podmiotów sektora nauki, tj. ISP inne niż dane badawcze oraz dane badawcze niespełniające przesłanek określonych w art. 22 projektu, nie będą podlegały ponownemu wykorzystywaniu.  </w:t>
      </w:r>
    </w:p>
    <w:p w14:paraId="24310086" w14:textId="6B6DFDDD"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0 ust. 1 </w:t>
      </w:r>
      <w:r w:rsidRPr="004E0F02">
        <w:rPr>
          <w:rFonts w:eastAsia="Calibri" w:cs="Times New Roman"/>
          <w:szCs w:val="24"/>
          <w:lang w:eastAsia="en-US"/>
        </w:rPr>
        <w:t>dyrektywy 2019/1024/UE państwa członkowskie zostały zobowiązane do</w:t>
      </w:r>
      <w:r w:rsidR="00571589" w:rsidRPr="004E0F02">
        <w:rPr>
          <w:rFonts w:eastAsia="Calibri" w:cs="Times New Roman"/>
          <w:szCs w:val="24"/>
          <w:lang w:eastAsia="en-US"/>
        </w:rPr>
        <w:t> </w:t>
      </w:r>
      <w:r w:rsidRPr="004E0F02">
        <w:rPr>
          <w:rFonts w:eastAsia="Calibri" w:cs="Times New Roman"/>
          <w:szCs w:val="24"/>
          <w:lang w:eastAsia="en-US"/>
        </w:rPr>
        <w:t>przyjęcia polityk krajowych oraz podjęcia odpowiednich działań mających na celu zapewnienie powszechnej dostępności danych badawczych finansowanych ze środków publicznych (</w:t>
      </w:r>
      <w:r w:rsidR="00E45B1D" w:rsidRPr="004E0F02">
        <w:rPr>
          <w:rFonts w:eastAsia="Calibri" w:cs="Times New Roman"/>
          <w:szCs w:val="24"/>
          <w:lang w:eastAsia="en-US"/>
        </w:rPr>
        <w:t>„</w:t>
      </w:r>
      <w:r w:rsidRPr="004E0F02">
        <w:rPr>
          <w:rFonts w:eastAsia="Calibri" w:cs="Times New Roman"/>
          <w:szCs w:val="24"/>
          <w:lang w:eastAsia="en-US"/>
        </w:rPr>
        <w:t>polityka otwartego dostępu</w:t>
      </w:r>
      <w:r w:rsidR="00E45B1D" w:rsidRPr="004E0F02">
        <w:rPr>
          <w:rFonts w:eastAsia="Calibri" w:cs="Times New Roman"/>
          <w:szCs w:val="24"/>
          <w:lang w:eastAsia="en-US"/>
        </w:rPr>
        <w:t>”</w:t>
      </w:r>
      <w:r w:rsidRPr="004E0F02">
        <w:rPr>
          <w:rFonts w:eastAsia="Calibri" w:cs="Times New Roman"/>
          <w:szCs w:val="24"/>
          <w:lang w:eastAsia="en-US"/>
        </w:rPr>
        <w:t>), zgodnie</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zasadą </w:t>
      </w:r>
      <w:r w:rsidR="00E45B1D" w:rsidRPr="004E0F02">
        <w:rPr>
          <w:rFonts w:eastAsia="Calibri" w:cs="Times New Roman"/>
          <w:szCs w:val="24"/>
          <w:lang w:eastAsia="en-US"/>
        </w:rPr>
        <w:t>„</w:t>
      </w:r>
      <w:r w:rsidRPr="004E0F02">
        <w:rPr>
          <w:rFonts w:eastAsia="Calibri" w:cs="Times New Roman"/>
          <w:szCs w:val="24"/>
          <w:lang w:eastAsia="en-US"/>
        </w:rPr>
        <w:t>otwartości domyślnej</w:t>
      </w:r>
      <w:r w:rsidR="00E45B1D" w:rsidRPr="004E0F02">
        <w:rPr>
          <w:rFonts w:eastAsia="Calibri" w:cs="Times New Roman"/>
          <w:szCs w:val="24"/>
          <w:lang w:eastAsia="en-US"/>
        </w:rPr>
        <w:t>”</w:t>
      </w:r>
      <w:r w:rsidRPr="004E0F02">
        <w:rPr>
          <w:rFonts w:eastAsia="Calibri" w:cs="Times New Roman"/>
          <w:szCs w:val="24"/>
          <w:lang w:eastAsia="en-US"/>
        </w:rPr>
        <w:t xml:space="preserve"> i</w:t>
      </w:r>
      <w:r w:rsidR="00571589" w:rsidRPr="004E0F02">
        <w:rPr>
          <w:rFonts w:eastAsia="Calibri" w:cs="Times New Roman"/>
          <w:szCs w:val="24"/>
          <w:lang w:eastAsia="en-US"/>
        </w:rPr>
        <w:t> </w:t>
      </w:r>
      <w:r w:rsidRPr="004E0F02">
        <w:rPr>
          <w:rFonts w:eastAsia="Calibri" w:cs="Times New Roman"/>
          <w:szCs w:val="24"/>
          <w:lang w:eastAsia="en-US"/>
        </w:rPr>
        <w:t>zgodnie</w:t>
      </w:r>
      <w:r w:rsidR="00E45B1D" w:rsidRPr="004E0F02">
        <w:rPr>
          <w:rFonts w:eastAsia="Calibri" w:cs="Times New Roman"/>
          <w:szCs w:val="24"/>
          <w:lang w:eastAsia="en-US"/>
        </w:rPr>
        <w:t xml:space="preserve"> z </w:t>
      </w:r>
      <w:r w:rsidRPr="004E0F02">
        <w:rPr>
          <w:rFonts w:eastAsia="Calibri" w:cs="Times New Roman"/>
          <w:szCs w:val="24"/>
          <w:lang w:eastAsia="en-US"/>
        </w:rPr>
        <w:t>zasadami FAIR. Działania te powinny uwzględniać kwestie związane</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prawami własności intelektualnej, ochroną danych osobowych i poufnością, bezpieczeństwem oraz </w:t>
      </w:r>
      <w:r w:rsidRPr="004E0F02">
        <w:rPr>
          <w:rFonts w:eastAsia="Calibri" w:cs="Times New Roman"/>
          <w:szCs w:val="24"/>
          <w:lang w:eastAsia="en-US"/>
        </w:rPr>
        <w:lastRenderedPageBreak/>
        <w:t>uzasadnionymi interesami handlowymi zgodnie</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zasadą </w:t>
      </w:r>
      <w:r w:rsidR="00E45B1D" w:rsidRPr="004E0F02">
        <w:rPr>
          <w:rFonts w:eastAsia="Calibri" w:cs="Times New Roman"/>
          <w:szCs w:val="24"/>
          <w:lang w:eastAsia="en-US"/>
        </w:rPr>
        <w:t>„</w:t>
      </w:r>
      <w:r w:rsidRPr="004E0F02">
        <w:rPr>
          <w:rFonts w:eastAsia="Calibri" w:cs="Times New Roman"/>
          <w:szCs w:val="24"/>
          <w:lang w:eastAsia="en-US"/>
        </w:rPr>
        <w:t>otwarty jak to najbardziej możliwe, zamknięty jak to konieczne</w:t>
      </w:r>
      <w:r w:rsidR="00E45B1D" w:rsidRPr="004E0F02">
        <w:rPr>
          <w:rFonts w:eastAsia="Calibri" w:cs="Times New Roman"/>
          <w:szCs w:val="24"/>
          <w:lang w:eastAsia="en-US"/>
        </w:rPr>
        <w:t>”</w:t>
      </w:r>
      <w:r w:rsidRPr="004E0F02">
        <w:rPr>
          <w:rFonts w:eastAsia="Calibri" w:cs="Times New Roman"/>
          <w:szCs w:val="24"/>
          <w:lang w:eastAsia="en-US"/>
        </w:rPr>
        <w:t>.</w:t>
      </w:r>
      <w:r w:rsidR="00E45B1D" w:rsidRPr="004E0F02">
        <w:rPr>
          <w:rFonts w:eastAsia="Calibri" w:cs="Times New Roman"/>
          <w:szCs w:val="24"/>
          <w:lang w:eastAsia="en-US"/>
        </w:rPr>
        <w:t xml:space="preserve"> W </w:t>
      </w:r>
      <w:r w:rsidRPr="004E0F02">
        <w:rPr>
          <w:rFonts w:eastAsia="Calibri" w:cs="Times New Roman"/>
          <w:szCs w:val="24"/>
          <w:lang w:eastAsia="en-US"/>
        </w:rPr>
        <w:t>tym kontekście</w:t>
      </w:r>
      <w:r w:rsidR="00E45B1D" w:rsidRPr="004E0F02">
        <w:rPr>
          <w:rFonts w:eastAsia="Calibri" w:cs="Times New Roman"/>
          <w:szCs w:val="24"/>
          <w:lang w:eastAsia="en-US"/>
        </w:rPr>
        <w:t xml:space="preserve"> w art. </w:t>
      </w:r>
      <w:r w:rsidRPr="004E0F02">
        <w:rPr>
          <w:rFonts w:eastAsia="Calibri" w:cs="Times New Roman"/>
          <w:szCs w:val="24"/>
          <w:lang w:eastAsia="en-US"/>
        </w:rPr>
        <w:t>2</w:t>
      </w:r>
      <w:r w:rsidR="00E45B1D" w:rsidRPr="004E0F02">
        <w:rPr>
          <w:rFonts w:eastAsia="Calibri" w:cs="Times New Roman"/>
          <w:szCs w:val="24"/>
          <w:lang w:eastAsia="en-US"/>
        </w:rPr>
        <w:t>3 </w:t>
      </w:r>
      <w:r w:rsidRPr="004E0F02">
        <w:rPr>
          <w:rFonts w:eastAsia="Calibri" w:cs="Times New Roman"/>
          <w:szCs w:val="24"/>
          <w:lang w:eastAsia="en-US"/>
        </w:rPr>
        <w:t>projektu ustawy zobowiązano ministra właściwego do spraw szkolnictwa wyższego</w:t>
      </w:r>
      <w:r w:rsidR="00E45B1D" w:rsidRPr="004E0F02">
        <w:rPr>
          <w:rFonts w:eastAsia="Calibri" w:cs="Times New Roman"/>
          <w:szCs w:val="24"/>
          <w:lang w:eastAsia="en-US"/>
        </w:rPr>
        <w:t xml:space="preserve"> i </w:t>
      </w:r>
      <w:r w:rsidRPr="004E0F02">
        <w:rPr>
          <w:rFonts w:eastAsia="Calibri" w:cs="Times New Roman"/>
          <w:szCs w:val="24"/>
          <w:lang w:eastAsia="en-US"/>
        </w:rPr>
        <w:t xml:space="preserve">nauki do opracowania  </w:t>
      </w:r>
      <w:r w:rsidR="002B60DE" w:rsidRPr="004E0F02">
        <w:rPr>
          <w:rFonts w:eastAsia="Calibri" w:cs="Times New Roman"/>
          <w:szCs w:val="24"/>
          <w:lang w:eastAsia="en-US"/>
        </w:rPr>
        <w:t>P</w:t>
      </w:r>
      <w:r w:rsidRPr="004E0F02">
        <w:rPr>
          <w:rFonts w:eastAsia="Calibri" w:cs="Times New Roman"/>
          <w:szCs w:val="24"/>
          <w:lang w:eastAsia="en-US"/>
        </w:rPr>
        <w:t>olityki otwartego dostępu do danych badawczych finansowanych ze środków publicznych, która uwzględniać powinna w</w:t>
      </w:r>
      <w:r w:rsidR="005F19A0" w:rsidRPr="004E0F02">
        <w:rPr>
          <w:rFonts w:eastAsia="Calibri" w:cs="Times New Roman"/>
          <w:szCs w:val="24"/>
          <w:lang w:eastAsia="en-US"/>
        </w:rPr>
        <w:t> </w:t>
      </w:r>
      <w:r w:rsidRPr="004E0F02">
        <w:rPr>
          <w:rFonts w:eastAsia="Calibri" w:cs="Times New Roman"/>
          <w:szCs w:val="24"/>
          <w:lang w:eastAsia="en-US"/>
        </w:rPr>
        <w:t>szczególności aktualny stan udostępniania danych badawczych</w:t>
      </w:r>
      <w:r w:rsidR="002B60DE" w:rsidRPr="004E0F02">
        <w:rPr>
          <w:rFonts w:eastAsia="Calibri" w:cs="Times New Roman"/>
          <w:szCs w:val="24"/>
          <w:lang w:eastAsia="en-US"/>
        </w:rPr>
        <w:t xml:space="preserve"> oraz standardy i dobre praktyki w zakresie udostępniania danych badawczych</w:t>
      </w:r>
      <w:r w:rsidRPr="004E0F02">
        <w:rPr>
          <w:rFonts w:eastAsia="Calibri" w:cs="Times New Roman"/>
          <w:szCs w:val="24"/>
          <w:lang w:eastAsia="en-US"/>
        </w:rPr>
        <w:t>, obowiązujący stan prawny, kierunki rozwoju</w:t>
      </w:r>
      <w:r w:rsidR="00E45B1D" w:rsidRPr="004E0F02">
        <w:rPr>
          <w:rFonts w:eastAsia="Calibri" w:cs="Times New Roman"/>
          <w:szCs w:val="24"/>
          <w:lang w:eastAsia="en-US"/>
        </w:rPr>
        <w:t xml:space="preserve"> w </w:t>
      </w:r>
      <w:r w:rsidRPr="004E0F02">
        <w:rPr>
          <w:rFonts w:eastAsia="Calibri" w:cs="Times New Roman"/>
          <w:szCs w:val="24"/>
          <w:lang w:eastAsia="en-US"/>
        </w:rPr>
        <w:t>zakresie otwartego dostępu do danych badawczych</w:t>
      </w:r>
      <w:r w:rsidR="00E45B1D" w:rsidRPr="004E0F02">
        <w:rPr>
          <w:rFonts w:eastAsia="Calibri" w:cs="Times New Roman"/>
          <w:szCs w:val="24"/>
          <w:lang w:eastAsia="en-US"/>
        </w:rPr>
        <w:t xml:space="preserve"> i </w:t>
      </w:r>
      <w:r w:rsidRPr="004E0F02">
        <w:rPr>
          <w:rFonts w:eastAsia="Calibri" w:cs="Times New Roman"/>
          <w:szCs w:val="24"/>
          <w:lang w:eastAsia="en-US"/>
        </w:rPr>
        <w:t>zarządzania wynikami badań naukowych,</w:t>
      </w:r>
      <w:r w:rsidR="00E45B1D" w:rsidRPr="004E0F02">
        <w:rPr>
          <w:rFonts w:eastAsia="Calibri" w:cs="Times New Roman"/>
          <w:szCs w:val="24"/>
          <w:lang w:eastAsia="en-US"/>
        </w:rPr>
        <w:t xml:space="preserve"> a </w:t>
      </w:r>
      <w:r w:rsidRPr="004E0F02">
        <w:rPr>
          <w:rFonts w:eastAsia="Calibri" w:cs="Times New Roman"/>
          <w:szCs w:val="24"/>
          <w:lang w:eastAsia="en-US"/>
        </w:rPr>
        <w:t xml:space="preserve">także postanowienia Programu </w:t>
      </w:r>
      <w:r w:rsidR="002B60DE" w:rsidRPr="004E0F02">
        <w:rPr>
          <w:rFonts w:eastAsia="Calibri" w:cs="Times New Roman"/>
          <w:szCs w:val="24"/>
          <w:lang w:eastAsia="en-US"/>
        </w:rPr>
        <w:t>otwierania danych.</w:t>
      </w:r>
      <w:r w:rsidRPr="004E0F02">
        <w:rPr>
          <w:rFonts w:eastAsia="Calibri" w:cs="Times New Roman"/>
          <w:szCs w:val="24"/>
          <w:lang w:eastAsia="en-US"/>
        </w:rPr>
        <w:t>.</w:t>
      </w:r>
    </w:p>
    <w:p w14:paraId="06EDD798" w14:textId="77777777"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Dane dynamiczne.</w:t>
      </w:r>
    </w:p>
    <w:p w14:paraId="6D749D8F" w14:textId="6E97E300"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Szczególną kategorię informacji sektora publicznego stanowią dane dynamiczne, które aby mogły zostać za takie uznane, zgodnie</w:t>
      </w:r>
      <w:r w:rsidR="00E45B1D" w:rsidRPr="004E0F02">
        <w:rPr>
          <w:rFonts w:eastAsia="Calibri" w:cs="Times New Roman"/>
          <w:szCs w:val="24"/>
          <w:lang w:eastAsia="en-US"/>
        </w:rPr>
        <w:t xml:space="preserve"> z art. 2 pkt 3 </w:t>
      </w:r>
      <w:r w:rsidRPr="004E0F02">
        <w:rPr>
          <w:rFonts w:eastAsia="Calibri" w:cs="Times New Roman"/>
          <w:szCs w:val="24"/>
          <w:lang w:eastAsia="en-US"/>
        </w:rPr>
        <w:t>projektu ustawy muszą zostać utrwalone</w:t>
      </w:r>
      <w:r w:rsidR="00E45B1D" w:rsidRPr="004E0F02">
        <w:rPr>
          <w:rFonts w:eastAsia="Calibri" w:cs="Times New Roman"/>
          <w:szCs w:val="24"/>
          <w:lang w:eastAsia="en-US"/>
        </w:rPr>
        <w:t xml:space="preserve"> w </w:t>
      </w:r>
      <w:r w:rsidRPr="004E0F02">
        <w:rPr>
          <w:rFonts w:eastAsia="Calibri" w:cs="Times New Roman"/>
          <w:szCs w:val="24"/>
          <w:lang w:eastAsia="en-US"/>
        </w:rPr>
        <w:t>postaci elektronicznej</w:t>
      </w:r>
      <w:r w:rsidR="00E45B1D" w:rsidRPr="004E0F02">
        <w:rPr>
          <w:rFonts w:eastAsia="Calibri" w:cs="Times New Roman"/>
          <w:szCs w:val="24"/>
          <w:lang w:eastAsia="en-US"/>
        </w:rPr>
        <w:t xml:space="preserve"> i </w:t>
      </w:r>
      <w:r w:rsidRPr="004E0F02">
        <w:rPr>
          <w:rFonts w:eastAsia="Calibri" w:cs="Times New Roman"/>
          <w:szCs w:val="24"/>
          <w:lang w:eastAsia="en-US"/>
        </w:rPr>
        <w:t>spełniać kryterium podlegania częstym aktualizacjom lub aktualizacjom</w:t>
      </w:r>
      <w:r w:rsidR="00E45B1D" w:rsidRPr="004E0F02">
        <w:rPr>
          <w:rFonts w:eastAsia="Calibri" w:cs="Times New Roman"/>
          <w:szCs w:val="24"/>
          <w:lang w:eastAsia="en-US"/>
        </w:rPr>
        <w:t xml:space="preserve"> w </w:t>
      </w:r>
      <w:r w:rsidRPr="004E0F02">
        <w:rPr>
          <w:rFonts w:eastAsia="Calibri" w:cs="Times New Roman"/>
          <w:szCs w:val="24"/>
          <w:lang w:eastAsia="en-US"/>
        </w:rPr>
        <w:t>czasie rzeczywistym,</w:t>
      </w:r>
      <w:r w:rsidR="00E45B1D" w:rsidRPr="004E0F02">
        <w:rPr>
          <w:rFonts w:eastAsia="Calibri" w:cs="Times New Roman"/>
          <w:szCs w:val="24"/>
          <w:lang w:eastAsia="en-US"/>
        </w:rPr>
        <w:t xml:space="preserve"> w </w:t>
      </w:r>
      <w:r w:rsidRPr="004E0F02">
        <w:rPr>
          <w:rFonts w:eastAsia="Calibri" w:cs="Times New Roman"/>
          <w:szCs w:val="24"/>
          <w:lang w:eastAsia="en-US"/>
        </w:rPr>
        <w:t>szczególności ze względu na ich zmienność lub szybką dezaktualizację.</w:t>
      </w:r>
      <w:r w:rsidR="00E45B1D" w:rsidRPr="004E0F02">
        <w:rPr>
          <w:rFonts w:eastAsia="Calibri" w:cs="Times New Roman"/>
          <w:szCs w:val="24"/>
          <w:lang w:eastAsia="en-US"/>
        </w:rPr>
        <w:t xml:space="preserve"> W </w:t>
      </w:r>
      <w:r w:rsidRPr="004E0F02">
        <w:rPr>
          <w:rFonts w:eastAsia="Calibri" w:cs="Times New Roman"/>
          <w:szCs w:val="24"/>
          <w:lang w:eastAsia="en-US"/>
        </w:rPr>
        <w:t>motywie 3</w:t>
      </w:r>
      <w:r w:rsidR="00E45B1D" w:rsidRPr="004E0F02">
        <w:rPr>
          <w:rFonts w:eastAsia="Calibri" w:cs="Times New Roman"/>
          <w:szCs w:val="24"/>
          <w:lang w:eastAsia="en-US"/>
        </w:rPr>
        <w:t>1 </w:t>
      </w:r>
      <w:r w:rsidRPr="004E0F02">
        <w:rPr>
          <w:rFonts w:eastAsia="Calibri" w:cs="Times New Roman"/>
          <w:szCs w:val="24"/>
          <w:lang w:eastAsia="en-US"/>
        </w:rPr>
        <w:t>preambuły dyrektywy 2019/1024/UE wymieniono przykładowe kategorie informacji sektora publicznego, które spełniać mogą kryteria danych dynamicznych, tj. dane środowiskowe, dane o ruchu, dane satelitarne, dane meteorologiczne, a</w:t>
      </w:r>
      <w:r w:rsidR="005F19A0" w:rsidRPr="004E0F02">
        <w:rPr>
          <w:rFonts w:eastAsia="Calibri" w:cs="Times New Roman"/>
          <w:szCs w:val="24"/>
          <w:lang w:eastAsia="en-US"/>
        </w:rPr>
        <w:t> </w:t>
      </w:r>
      <w:r w:rsidRPr="004E0F02">
        <w:rPr>
          <w:rFonts w:eastAsia="Calibri" w:cs="Times New Roman"/>
          <w:szCs w:val="24"/>
          <w:lang w:eastAsia="en-US"/>
        </w:rPr>
        <w:t>także dane wygenerowane przez czujniki. Wartość ekonomiczna tego rodzaju danych zależy od natychmiastowej dostępności informacji oraz regularnego ich aktualizowania.</w:t>
      </w:r>
      <w:r w:rsidR="00E45B1D" w:rsidRPr="004E0F02">
        <w:rPr>
          <w:rFonts w:eastAsia="Calibri" w:cs="Times New Roman"/>
          <w:szCs w:val="24"/>
          <w:lang w:eastAsia="en-US"/>
        </w:rPr>
        <w:t xml:space="preserve"> W </w:t>
      </w:r>
      <w:r w:rsidRPr="004E0F02">
        <w:rPr>
          <w:rFonts w:eastAsia="Calibri" w:cs="Times New Roman"/>
          <w:szCs w:val="24"/>
          <w:lang w:eastAsia="en-US"/>
        </w:rPr>
        <w:t>związku z</w:t>
      </w:r>
      <w:r w:rsidR="005F19A0" w:rsidRPr="004E0F02">
        <w:rPr>
          <w:rFonts w:eastAsia="Calibri" w:cs="Times New Roman"/>
          <w:szCs w:val="24"/>
          <w:lang w:eastAsia="en-US"/>
        </w:rPr>
        <w:t> </w:t>
      </w:r>
      <w:r w:rsidRPr="004E0F02">
        <w:rPr>
          <w:rFonts w:eastAsia="Calibri" w:cs="Times New Roman"/>
          <w:szCs w:val="24"/>
          <w:lang w:eastAsia="en-US"/>
        </w:rPr>
        <w:t>powyższym</w:t>
      </w:r>
      <w:r w:rsidR="00E45B1D" w:rsidRPr="004E0F02">
        <w:rPr>
          <w:rFonts w:eastAsia="Calibri" w:cs="Times New Roman"/>
          <w:szCs w:val="24"/>
          <w:lang w:eastAsia="en-US"/>
        </w:rPr>
        <w:t xml:space="preserve"> w </w:t>
      </w:r>
      <w:r w:rsidRPr="004E0F02">
        <w:rPr>
          <w:rFonts w:eastAsia="Calibri" w:cs="Times New Roman"/>
          <w:szCs w:val="24"/>
          <w:lang w:eastAsia="en-US"/>
        </w:rPr>
        <w:t>celu zagwarantowania możliwości pełnego</w:t>
      </w:r>
      <w:r w:rsidR="00E45B1D" w:rsidRPr="004E0F02">
        <w:rPr>
          <w:rFonts w:eastAsia="Calibri" w:cs="Times New Roman"/>
          <w:szCs w:val="24"/>
          <w:lang w:eastAsia="en-US"/>
        </w:rPr>
        <w:t xml:space="preserve"> i </w:t>
      </w:r>
      <w:r w:rsidRPr="004E0F02">
        <w:rPr>
          <w:rFonts w:eastAsia="Calibri" w:cs="Times New Roman"/>
          <w:szCs w:val="24"/>
          <w:lang w:eastAsia="en-US"/>
        </w:rPr>
        <w:t>efektywnego wykorzystania potencjału danych dynamicznych,</w:t>
      </w:r>
      <w:r w:rsidR="00E45B1D" w:rsidRPr="004E0F02">
        <w:rPr>
          <w:rFonts w:eastAsia="Calibri" w:cs="Times New Roman"/>
          <w:szCs w:val="24"/>
          <w:lang w:eastAsia="en-US"/>
        </w:rPr>
        <w:t xml:space="preserve"> w </w:t>
      </w:r>
      <w:r w:rsidRPr="004E0F02">
        <w:rPr>
          <w:rFonts w:eastAsia="Calibri" w:cs="Times New Roman"/>
          <w:szCs w:val="24"/>
          <w:lang w:eastAsia="en-US"/>
        </w:rPr>
        <w:t>tym aby ułatwić rozwój bazujących na takich danych aplikacji internetowych</w:t>
      </w:r>
      <w:r w:rsidR="00E45B1D" w:rsidRPr="004E0F02">
        <w:rPr>
          <w:rFonts w:eastAsia="Calibri" w:cs="Times New Roman"/>
          <w:szCs w:val="24"/>
          <w:lang w:eastAsia="en-US"/>
        </w:rPr>
        <w:t xml:space="preserve"> i </w:t>
      </w:r>
      <w:r w:rsidRPr="004E0F02">
        <w:rPr>
          <w:rFonts w:eastAsia="Calibri" w:cs="Times New Roman"/>
          <w:szCs w:val="24"/>
          <w:lang w:eastAsia="en-US"/>
        </w:rPr>
        <w:t>mobilnych oraz aplikacji korzystających z chmury obliczeniowej, w</w:t>
      </w:r>
      <w:r w:rsidR="005F19A0" w:rsidRPr="004E0F02">
        <w:rPr>
          <w:rFonts w:eastAsia="Calibri" w:cs="Times New Roman"/>
          <w:szCs w:val="24"/>
          <w:lang w:eastAsia="en-US"/>
        </w:rPr>
        <w:t> </w:t>
      </w:r>
      <w:r w:rsidRPr="004E0F02">
        <w:rPr>
          <w:rFonts w:eastAsia="Calibri" w:cs="Times New Roman"/>
          <w:szCs w:val="24"/>
          <w:lang w:eastAsia="en-US"/>
        </w:rPr>
        <w:t>dyrektywie 2019/1024/UE wprowadzono szczególne zasady, na jakich dane dynamiczne powinny być udostępniane do ponownego wykorzystywania.</w:t>
      </w:r>
    </w:p>
    <w:p w14:paraId="2DCD71C2" w14:textId="4BC4181D"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Mając na względzie rozwiązania przyjęte</w:t>
      </w:r>
      <w:r w:rsidR="00E45B1D" w:rsidRPr="004E0F02">
        <w:rPr>
          <w:rFonts w:eastAsia="Calibri" w:cs="Times New Roman"/>
          <w:szCs w:val="24"/>
          <w:lang w:eastAsia="en-US"/>
        </w:rPr>
        <w:t xml:space="preserve"> w </w:t>
      </w:r>
      <w:r w:rsidRPr="004E0F02">
        <w:rPr>
          <w:rFonts w:eastAsia="Calibri" w:cs="Times New Roman"/>
          <w:szCs w:val="24"/>
          <w:lang w:eastAsia="en-US"/>
        </w:rPr>
        <w:t>dyrektywie,</w:t>
      </w:r>
      <w:r w:rsidR="00E45B1D" w:rsidRPr="004E0F02">
        <w:rPr>
          <w:rFonts w:eastAsia="Calibri" w:cs="Times New Roman"/>
          <w:szCs w:val="24"/>
          <w:lang w:eastAsia="en-US"/>
        </w:rPr>
        <w:t xml:space="preserve"> w </w:t>
      </w:r>
      <w:r w:rsidRPr="004E0F02">
        <w:rPr>
          <w:rFonts w:eastAsia="Calibri" w:cs="Times New Roman"/>
          <w:szCs w:val="24"/>
          <w:lang w:eastAsia="en-US"/>
        </w:rPr>
        <w:t>projekcie ustawy przewidziano szczególne regulacje dotyczące udostępniania danych dynamicznych</w:t>
      </w:r>
      <w:r w:rsidR="00E45B1D" w:rsidRPr="004E0F02">
        <w:rPr>
          <w:rFonts w:eastAsia="Calibri" w:cs="Times New Roman"/>
          <w:szCs w:val="24"/>
          <w:lang w:eastAsia="en-US"/>
        </w:rPr>
        <w:t xml:space="preserve"> w </w:t>
      </w:r>
      <w:r w:rsidRPr="004E0F02">
        <w:rPr>
          <w:rFonts w:eastAsia="Calibri" w:cs="Times New Roman"/>
          <w:szCs w:val="24"/>
          <w:lang w:eastAsia="en-US"/>
        </w:rPr>
        <w:t>celu ich ponownego wykorzystywania. Zgodnie</w:t>
      </w:r>
      <w:r w:rsidR="00E45B1D" w:rsidRPr="004E0F02">
        <w:rPr>
          <w:rFonts w:eastAsia="Calibri" w:cs="Times New Roman"/>
          <w:szCs w:val="24"/>
          <w:lang w:eastAsia="en-US"/>
        </w:rPr>
        <w:t xml:space="preserve"> z art. </w:t>
      </w:r>
      <w:r w:rsidRPr="004E0F02">
        <w:rPr>
          <w:rFonts w:eastAsia="Calibri" w:cs="Times New Roman"/>
          <w:szCs w:val="24"/>
          <w:lang w:eastAsia="en-US"/>
        </w:rPr>
        <w:t>2</w:t>
      </w:r>
      <w:r w:rsidR="00E45B1D" w:rsidRPr="004E0F02">
        <w:rPr>
          <w:rFonts w:eastAsia="Calibri" w:cs="Times New Roman"/>
          <w:szCs w:val="24"/>
          <w:lang w:eastAsia="en-US"/>
        </w:rPr>
        <w:t>4 ust. 1 </w:t>
      </w:r>
      <w:r w:rsidRPr="004E0F02">
        <w:rPr>
          <w:rFonts w:eastAsia="Calibri" w:cs="Times New Roman"/>
          <w:szCs w:val="24"/>
          <w:lang w:eastAsia="en-US"/>
        </w:rPr>
        <w:t>projektu ustawy podmioty zobowiązane zobligowane zostały do udostępniania informacji sektora publicznego, spełniających kryteria danych dynamicznych, niezwłocznie (natychmiast) po ich zgromadzeniu, za pośrednictwem API oraz jeżeli będzie to możliwe – do zbiorczego pobrania. Przez udostępnianie danych dynamicznych do zbiorczego pobrania należy rozumieć zapewnienie (o ile to możliwe) przez podmiot zobowiązany funkcjonalności systemu teleinformatycznego, dzięki której użytkownicy będą mogli pobrać określony zasób danych</w:t>
      </w:r>
      <w:r w:rsidR="00E45B1D" w:rsidRPr="004E0F02">
        <w:rPr>
          <w:rFonts w:eastAsia="Calibri" w:cs="Times New Roman"/>
          <w:szCs w:val="24"/>
          <w:lang w:eastAsia="en-US"/>
        </w:rPr>
        <w:t xml:space="preserve"> w </w:t>
      </w:r>
      <w:r w:rsidRPr="004E0F02">
        <w:rPr>
          <w:rFonts w:eastAsia="Calibri" w:cs="Times New Roman"/>
          <w:szCs w:val="24"/>
          <w:lang w:eastAsia="en-US"/>
        </w:rPr>
        <w:t>całości za pomocą funkcji w</w:t>
      </w:r>
      <w:r w:rsidR="003B6CF4" w:rsidRPr="004E0F02">
        <w:rPr>
          <w:rFonts w:eastAsia="Calibri" w:cs="Times New Roman"/>
          <w:szCs w:val="24"/>
          <w:lang w:eastAsia="en-US"/>
        </w:rPr>
        <w:t> </w:t>
      </w:r>
      <w:r w:rsidRPr="004E0F02">
        <w:rPr>
          <w:rFonts w:eastAsia="Calibri" w:cs="Times New Roman"/>
          <w:szCs w:val="24"/>
          <w:lang w:eastAsia="en-US"/>
        </w:rPr>
        <w:t xml:space="preserve">rodzaju </w:t>
      </w:r>
      <w:r w:rsidR="00E45B1D" w:rsidRPr="004E0F02">
        <w:rPr>
          <w:rFonts w:eastAsia="Calibri" w:cs="Times New Roman"/>
          <w:szCs w:val="24"/>
          <w:lang w:eastAsia="en-US"/>
        </w:rPr>
        <w:t>„</w:t>
      </w:r>
      <w:r w:rsidRPr="004E0F02">
        <w:rPr>
          <w:rFonts w:eastAsia="Calibri" w:cs="Times New Roman"/>
          <w:szCs w:val="24"/>
          <w:lang w:eastAsia="en-US"/>
        </w:rPr>
        <w:t>pobierz wszystko</w:t>
      </w:r>
      <w:r w:rsidR="00E45B1D" w:rsidRPr="004E0F02">
        <w:rPr>
          <w:rFonts w:eastAsia="Calibri" w:cs="Times New Roman"/>
          <w:szCs w:val="24"/>
          <w:lang w:eastAsia="en-US"/>
        </w:rPr>
        <w:t>”</w:t>
      </w:r>
      <w:r w:rsidRPr="004E0F02">
        <w:rPr>
          <w:rFonts w:eastAsia="Calibri" w:cs="Times New Roman"/>
          <w:szCs w:val="24"/>
          <w:lang w:eastAsia="en-US"/>
        </w:rPr>
        <w:t>.</w:t>
      </w:r>
    </w:p>
    <w:p w14:paraId="3D91EE3A" w14:textId="4F5D2B9F"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Jednocześnie,</w:t>
      </w:r>
      <w:r w:rsidR="00E45B1D" w:rsidRPr="004E0F02">
        <w:rPr>
          <w:rFonts w:eastAsia="Calibri" w:cs="Times New Roman"/>
          <w:szCs w:val="24"/>
          <w:lang w:eastAsia="en-US"/>
        </w:rPr>
        <w:t xml:space="preserve"> w </w:t>
      </w:r>
      <w:r w:rsidRPr="004E0F02">
        <w:rPr>
          <w:rFonts w:eastAsia="Calibri" w:cs="Times New Roman"/>
          <w:szCs w:val="24"/>
          <w:lang w:eastAsia="en-US"/>
        </w:rPr>
        <w:t>przypadku kiedy zapewnienie przez podmiot zobowiązany dostępności danych dynamicznych</w:t>
      </w:r>
      <w:r w:rsidR="00E45B1D" w:rsidRPr="004E0F02">
        <w:rPr>
          <w:rFonts w:eastAsia="Calibri" w:cs="Times New Roman"/>
          <w:szCs w:val="24"/>
          <w:lang w:eastAsia="en-US"/>
        </w:rPr>
        <w:t xml:space="preserve"> w </w:t>
      </w:r>
      <w:r w:rsidRPr="004E0F02">
        <w:rPr>
          <w:rFonts w:eastAsia="Calibri" w:cs="Times New Roman"/>
          <w:szCs w:val="24"/>
          <w:lang w:eastAsia="en-US"/>
        </w:rPr>
        <w:t>sposób przewidziany</w:t>
      </w:r>
      <w:r w:rsidR="00E45B1D" w:rsidRPr="004E0F02">
        <w:rPr>
          <w:rFonts w:eastAsia="Calibri" w:cs="Times New Roman"/>
          <w:szCs w:val="24"/>
          <w:lang w:eastAsia="en-US"/>
        </w:rPr>
        <w:t xml:space="preserve"> w </w:t>
      </w:r>
      <w:r w:rsidRPr="004E0F02">
        <w:rPr>
          <w:rFonts w:eastAsia="Calibri" w:cs="Times New Roman"/>
          <w:szCs w:val="24"/>
          <w:lang w:eastAsia="en-US"/>
        </w:rPr>
        <w:t>ustawie, przekraczałoby możliwości finansowe lub techniczne takiego podmiotu,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2</w:t>
      </w:r>
      <w:r w:rsidR="00E45B1D" w:rsidRPr="004E0F02">
        <w:rPr>
          <w:rFonts w:eastAsia="Calibri" w:cs="Times New Roman"/>
          <w:szCs w:val="24"/>
          <w:lang w:eastAsia="en-US"/>
        </w:rPr>
        <w:t>4 ust. 2 </w:t>
      </w:r>
      <w:r w:rsidRPr="004E0F02">
        <w:rPr>
          <w:rFonts w:eastAsia="Calibri" w:cs="Times New Roman"/>
          <w:szCs w:val="24"/>
          <w:lang w:eastAsia="en-US"/>
        </w:rPr>
        <w:t>projektu ustawy, dopuszczono możliwość udostępnienia takich danych</w:t>
      </w:r>
      <w:r w:rsidR="00E45B1D" w:rsidRPr="004E0F02">
        <w:rPr>
          <w:rFonts w:eastAsia="Calibri" w:cs="Times New Roman"/>
          <w:szCs w:val="24"/>
          <w:lang w:eastAsia="en-US"/>
        </w:rPr>
        <w:t xml:space="preserve"> w </w:t>
      </w:r>
      <w:r w:rsidRPr="004E0F02">
        <w:rPr>
          <w:rFonts w:eastAsia="Calibri" w:cs="Times New Roman"/>
          <w:szCs w:val="24"/>
          <w:lang w:eastAsia="en-US"/>
        </w:rPr>
        <w:t>terminie późniejszym, pod warunkiem jednakże zachowania możliwości wykorzystania potencjału gospodarczego</w:t>
      </w:r>
      <w:r w:rsidR="00E45B1D" w:rsidRPr="004E0F02">
        <w:rPr>
          <w:rFonts w:eastAsia="Calibri" w:cs="Times New Roman"/>
          <w:szCs w:val="24"/>
          <w:lang w:eastAsia="en-US"/>
        </w:rPr>
        <w:t xml:space="preserve"> i </w:t>
      </w:r>
      <w:r w:rsidRPr="004E0F02">
        <w:rPr>
          <w:rFonts w:eastAsia="Calibri" w:cs="Times New Roman"/>
          <w:szCs w:val="24"/>
          <w:lang w:eastAsia="en-US"/>
        </w:rPr>
        <w:t>społecznego udostępnianych zasobów. Techniczne oraz finansowe przesłanki,</w:t>
      </w:r>
      <w:r w:rsidR="00E45B1D" w:rsidRPr="004E0F02">
        <w:rPr>
          <w:rFonts w:eastAsia="Calibri" w:cs="Times New Roman"/>
          <w:szCs w:val="24"/>
          <w:lang w:eastAsia="en-US"/>
        </w:rPr>
        <w:t xml:space="preserve"> o </w:t>
      </w:r>
      <w:r w:rsidRPr="004E0F02">
        <w:rPr>
          <w:rFonts w:eastAsia="Calibri" w:cs="Times New Roman"/>
          <w:szCs w:val="24"/>
          <w:lang w:eastAsia="en-US"/>
        </w:rPr>
        <w:t>których mowa</w:t>
      </w:r>
      <w:r w:rsidR="00E45B1D" w:rsidRPr="004E0F02">
        <w:rPr>
          <w:rFonts w:eastAsia="Calibri" w:cs="Times New Roman"/>
          <w:szCs w:val="24"/>
          <w:lang w:eastAsia="en-US"/>
        </w:rPr>
        <w:t xml:space="preserve"> w art. </w:t>
      </w:r>
      <w:r w:rsidRPr="004E0F02">
        <w:rPr>
          <w:rFonts w:eastAsia="Calibri" w:cs="Times New Roman"/>
          <w:szCs w:val="24"/>
          <w:lang w:eastAsia="en-US"/>
        </w:rPr>
        <w:t>2</w:t>
      </w:r>
      <w:r w:rsidR="00E45B1D" w:rsidRPr="004E0F02">
        <w:rPr>
          <w:rFonts w:eastAsia="Calibri" w:cs="Times New Roman"/>
          <w:szCs w:val="24"/>
          <w:lang w:eastAsia="en-US"/>
        </w:rPr>
        <w:t>4 ust. 2 </w:t>
      </w:r>
      <w:r w:rsidRPr="004E0F02">
        <w:rPr>
          <w:rFonts w:eastAsia="Calibri" w:cs="Times New Roman"/>
          <w:szCs w:val="24"/>
          <w:lang w:eastAsia="en-US"/>
        </w:rPr>
        <w:t>projektu ustawy dotyczą posiadanej przez podmiot zobowiązany infrastruktury teleinformatycznej</w:t>
      </w:r>
      <w:r w:rsidR="00E45B1D" w:rsidRPr="004E0F02">
        <w:rPr>
          <w:rFonts w:eastAsia="Calibri" w:cs="Times New Roman"/>
          <w:szCs w:val="24"/>
          <w:lang w:eastAsia="en-US"/>
        </w:rPr>
        <w:t xml:space="preserve"> i </w:t>
      </w:r>
      <w:r w:rsidRPr="004E0F02">
        <w:rPr>
          <w:rFonts w:eastAsia="Calibri" w:cs="Times New Roman"/>
          <w:szCs w:val="24"/>
          <w:lang w:eastAsia="en-US"/>
        </w:rPr>
        <w:t>związanych</w:t>
      </w:r>
      <w:r w:rsidR="00E45B1D" w:rsidRPr="004E0F02">
        <w:rPr>
          <w:rFonts w:eastAsia="Calibri" w:cs="Times New Roman"/>
          <w:szCs w:val="24"/>
          <w:lang w:eastAsia="en-US"/>
        </w:rPr>
        <w:t xml:space="preserve"> z </w:t>
      </w:r>
      <w:r w:rsidRPr="004E0F02">
        <w:rPr>
          <w:rFonts w:eastAsia="Calibri" w:cs="Times New Roman"/>
          <w:szCs w:val="24"/>
          <w:lang w:eastAsia="en-US"/>
        </w:rPr>
        <w:t>tym możliwości (technicznych</w:t>
      </w:r>
      <w:r w:rsidR="00E45B1D" w:rsidRPr="004E0F02">
        <w:rPr>
          <w:rFonts w:eastAsia="Calibri" w:cs="Times New Roman"/>
          <w:szCs w:val="24"/>
          <w:lang w:eastAsia="en-US"/>
        </w:rPr>
        <w:t xml:space="preserve"> i </w:t>
      </w:r>
      <w:r w:rsidRPr="004E0F02">
        <w:rPr>
          <w:rFonts w:eastAsia="Calibri" w:cs="Times New Roman"/>
          <w:szCs w:val="24"/>
          <w:lang w:eastAsia="en-US"/>
        </w:rPr>
        <w:t xml:space="preserve">finansowych) </w:t>
      </w:r>
      <w:r w:rsidRPr="004E0F02">
        <w:rPr>
          <w:rFonts w:eastAsia="Calibri" w:cs="Times New Roman"/>
          <w:szCs w:val="24"/>
          <w:lang w:eastAsia="en-US"/>
        </w:rPr>
        <w:lastRenderedPageBreak/>
        <w:t>udostępniania danych dynamicznych za pośrednictwem interfejsu programistycznego aplikacji (API).</w:t>
      </w:r>
    </w:p>
    <w:p w14:paraId="226CFD3D" w14:textId="58F1CF10"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Dane</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w:t>
      </w:r>
    </w:p>
    <w:p w14:paraId="4A3BE2A7" w14:textId="32D276F3"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Poza kategorią danych dynamicznych</w:t>
      </w:r>
      <w:r w:rsidR="00E45B1D" w:rsidRPr="004E0F02">
        <w:rPr>
          <w:rFonts w:eastAsia="Calibri" w:cs="Times New Roman"/>
          <w:szCs w:val="24"/>
          <w:lang w:eastAsia="en-US"/>
        </w:rPr>
        <w:t xml:space="preserve"> w </w:t>
      </w:r>
      <w:r w:rsidRPr="004E0F02">
        <w:rPr>
          <w:rFonts w:eastAsia="Calibri" w:cs="Times New Roman"/>
          <w:szCs w:val="24"/>
          <w:lang w:eastAsia="en-US"/>
        </w:rPr>
        <w:t>dyrektywie 2019/1024/UE wyodrębniono również kategorię zbiorów danych</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 Zgodnie</w:t>
      </w:r>
      <w:r w:rsidR="00E45B1D" w:rsidRPr="004E0F02">
        <w:rPr>
          <w:rFonts w:eastAsia="Calibri" w:cs="Times New Roman"/>
          <w:szCs w:val="24"/>
          <w:lang w:eastAsia="en-US"/>
        </w:rPr>
        <w:t xml:space="preserve"> z </w:t>
      </w:r>
      <w:r w:rsidRPr="004E0F02">
        <w:rPr>
          <w:rFonts w:eastAsia="Calibri" w:cs="Times New Roman"/>
          <w:szCs w:val="24"/>
          <w:lang w:eastAsia="en-US"/>
        </w:rPr>
        <w:t>definicją przyjętą</w:t>
      </w:r>
      <w:r w:rsidR="00E45B1D" w:rsidRPr="004E0F02">
        <w:rPr>
          <w:rFonts w:eastAsia="Calibri" w:cs="Times New Roman"/>
          <w:szCs w:val="24"/>
          <w:lang w:eastAsia="en-US"/>
        </w:rPr>
        <w:t xml:space="preserve"> w art. 2 pkt 4 </w:t>
      </w:r>
      <w:r w:rsidRPr="004E0F02">
        <w:rPr>
          <w:rFonts w:eastAsia="Calibri" w:cs="Times New Roman"/>
          <w:szCs w:val="24"/>
          <w:lang w:eastAsia="en-US"/>
        </w:rPr>
        <w:t>projektu ustawy dane</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 oznaczają informacje sektora publicznego, których ponowne wykorzystywanie wiąże się</w:t>
      </w:r>
      <w:r w:rsidR="00E45B1D" w:rsidRPr="004E0F02">
        <w:rPr>
          <w:rFonts w:eastAsia="Calibri" w:cs="Times New Roman"/>
          <w:szCs w:val="24"/>
          <w:lang w:eastAsia="en-US"/>
        </w:rPr>
        <w:t xml:space="preserve"> z </w:t>
      </w:r>
      <w:r w:rsidRPr="004E0F02">
        <w:rPr>
          <w:rFonts w:eastAsia="Calibri" w:cs="Times New Roman"/>
          <w:szCs w:val="24"/>
          <w:lang w:eastAsia="en-US"/>
        </w:rPr>
        <w:t>istotnymi korzyściami dla społeczeństwa, środowiska i</w:t>
      </w:r>
      <w:r w:rsidR="00AE1C57" w:rsidRPr="004E0F02">
        <w:rPr>
          <w:rFonts w:eastAsia="Calibri" w:cs="Times New Roman"/>
          <w:szCs w:val="24"/>
          <w:lang w:eastAsia="en-US"/>
        </w:rPr>
        <w:t> </w:t>
      </w:r>
      <w:r w:rsidRPr="004E0F02">
        <w:rPr>
          <w:rFonts w:eastAsia="Calibri" w:cs="Times New Roman"/>
          <w:szCs w:val="24"/>
          <w:lang w:eastAsia="en-US"/>
        </w:rPr>
        <w:t>gospodarki,</w:t>
      </w:r>
      <w:r w:rsidR="00E45B1D" w:rsidRPr="004E0F02">
        <w:rPr>
          <w:rFonts w:eastAsia="Calibri" w:cs="Times New Roman"/>
          <w:szCs w:val="24"/>
          <w:lang w:eastAsia="en-US"/>
        </w:rPr>
        <w:t xml:space="preserve"> w </w:t>
      </w:r>
      <w:r w:rsidRPr="004E0F02">
        <w:rPr>
          <w:rFonts w:eastAsia="Calibri" w:cs="Times New Roman"/>
          <w:szCs w:val="24"/>
          <w:lang w:eastAsia="en-US"/>
        </w:rPr>
        <w:t>szczególności ze względu na ich przydatność do tworzenia produktów, usług i</w:t>
      </w:r>
      <w:r w:rsidR="00C00750" w:rsidRPr="004E0F02">
        <w:rPr>
          <w:rFonts w:eastAsia="Calibri" w:cs="Times New Roman"/>
          <w:szCs w:val="24"/>
          <w:lang w:eastAsia="en-US"/>
        </w:rPr>
        <w:t> </w:t>
      </w:r>
      <w:r w:rsidRPr="004E0F02">
        <w:rPr>
          <w:rFonts w:eastAsia="Calibri" w:cs="Times New Roman"/>
          <w:szCs w:val="24"/>
          <w:lang w:eastAsia="en-US"/>
        </w:rPr>
        <w:t>zastosowań opartych na wykorzystaniu tych danych.</w:t>
      </w:r>
    </w:p>
    <w:p w14:paraId="7673042B" w14:textId="3D4E4CE7"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 celu stworzenia warunków sprzyjających ponownemu wykorzystywaniu danych, które wiążą się z istotnymi korzyściami społeczno</w:t>
      </w:r>
      <w:r w:rsidR="00E45B1D" w:rsidRPr="004E0F02">
        <w:rPr>
          <w:rFonts w:eastAsia="Calibri" w:cs="Times New Roman"/>
          <w:szCs w:val="24"/>
          <w:lang w:eastAsia="en-US"/>
        </w:rPr>
        <w:softHyphen/>
      </w:r>
      <w:r w:rsidR="00E45B1D" w:rsidRPr="004E0F02">
        <w:rPr>
          <w:rFonts w:eastAsia="Calibri" w:cs="Times New Roman"/>
          <w:szCs w:val="24"/>
          <w:lang w:eastAsia="en-US"/>
        </w:rPr>
        <w:noBreakHyphen/>
      </w:r>
      <w:r w:rsidRPr="004E0F02">
        <w:rPr>
          <w:rFonts w:eastAsia="Calibri" w:cs="Times New Roman"/>
          <w:szCs w:val="24"/>
          <w:lang w:eastAsia="en-US"/>
        </w:rPr>
        <w:t>ekonomicznymi, mającymi szczególnie wysoką wartość dla gospodarki</w:t>
      </w:r>
      <w:r w:rsidR="00E45B1D" w:rsidRPr="004E0F02">
        <w:rPr>
          <w:rFonts w:eastAsia="Calibri" w:cs="Times New Roman"/>
          <w:szCs w:val="24"/>
          <w:lang w:eastAsia="en-US"/>
        </w:rPr>
        <w:t xml:space="preserve"> i </w:t>
      </w:r>
      <w:r w:rsidRPr="004E0F02">
        <w:rPr>
          <w:rFonts w:eastAsia="Calibri" w:cs="Times New Roman"/>
          <w:szCs w:val="24"/>
          <w:lang w:eastAsia="en-US"/>
        </w:rPr>
        <w:t>społeczeństwa,</w:t>
      </w:r>
      <w:r w:rsidR="00E45B1D" w:rsidRPr="004E0F02">
        <w:rPr>
          <w:rFonts w:eastAsia="Calibri" w:cs="Times New Roman"/>
          <w:szCs w:val="24"/>
          <w:lang w:eastAsia="en-US"/>
        </w:rPr>
        <w:t xml:space="preserve"> w </w:t>
      </w:r>
      <w:r w:rsidRPr="004E0F02">
        <w:rPr>
          <w:rFonts w:eastAsia="Calibri" w:cs="Times New Roman"/>
          <w:szCs w:val="24"/>
          <w:lang w:eastAsia="en-US"/>
        </w:rPr>
        <w:t>załączniku</w:t>
      </w:r>
      <w:r w:rsidR="00E45B1D" w:rsidRPr="004E0F02">
        <w:rPr>
          <w:rFonts w:eastAsia="Calibri" w:cs="Times New Roman"/>
          <w:szCs w:val="24"/>
          <w:lang w:eastAsia="en-US"/>
        </w:rPr>
        <w:t xml:space="preserve"> I </w:t>
      </w:r>
      <w:r w:rsidRPr="004E0F02">
        <w:rPr>
          <w:rFonts w:eastAsia="Calibri" w:cs="Times New Roman"/>
          <w:szCs w:val="24"/>
          <w:lang w:eastAsia="en-US"/>
        </w:rPr>
        <w:t>do dyrektywy 2019/1024/UE określono wykaz tematycznych kategorii zbiorów danych</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 obejmujących:</w:t>
      </w:r>
    </w:p>
    <w:p w14:paraId="3573EE37" w14:textId="77777777" w:rsidR="00A42682" w:rsidRPr="004E0F02" w:rsidRDefault="00A42682" w:rsidP="004D2DA7">
      <w:pPr>
        <w:widowControl/>
        <w:numPr>
          <w:ilvl w:val="0"/>
          <w:numId w:val="3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dane geoprzestrzenne;</w:t>
      </w:r>
    </w:p>
    <w:p w14:paraId="3B8692EA" w14:textId="6F68578B" w:rsidR="00A42682" w:rsidRPr="004E0F02" w:rsidRDefault="00A42682" w:rsidP="004D2DA7">
      <w:pPr>
        <w:widowControl/>
        <w:numPr>
          <w:ilvl w:val="0"/>
          <w:numId w:val="3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dane dotyczące obserwacji Ziemi</w:t>
      </w:r>
      <w:r w:rsidR="00E45B1D" w:rsidRPr="004E0F02">
        <w:rPr>
          <w:rFonts w:eastAsia="Calibri" w:cs="Times New Roman"/>
          <w:szCs w:val="24"/>
          <w:lang w:eastAsia="en-US"/>
        </w:rPr>
        <w:t xml:space="preserve"> i </w:t>
      </w:r>
      <w:r w:rsidRPr="004E0F02">
        <w:rPr>
          <w:rFonts w:eastAsia="Calibri" w:cs="Times New Roman"/>
          <w:szCs w:val="24"/>
          <w:lang w:eastAsia="en-US"/>
        </w:rPr>
        <w:t>środowiska;</w:t>
      </w:r>
    </w:p>
    <w:p w14:paraId="34BEFA2B" w14:textId="77777777" w:rsidR="00A42682" w:rsidRPr="004E0F02" w:rsidRDefault="00A42682" w:rsidP="004D2DA7">
      <w:pPr>
        <w:widowControl/>
        <w:numPr>
          <w:ilvl w:val="0"/>
          <w:numId w:val="3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dane meteorologiczne;</w:t>
      </w:r>
    </w:p>
    <w:p w14:paraId="1D901153" w14:textId="77777777" w:rsidR="00A42682" w:rsidRPr="004E0F02" w:rsidRDefault="00A42682" w:rsidP="004D2DA7">
      <w:pPr>
        <w:widowControl/>
        <w:numPr>
          <w:ilvl w:val="0"/>
          <w:numId w:val="3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dane statystyczne;</w:t>
      </w:r>
    </w:p>
    <w:p w14:paraId="3AF55E7E" w14:textId="66F64C8C" w:rsidR="00A42682" w:rsidRPr="004E0F02" w:rsidRDefault="00A42682" w:rsidP="004D2DA7">
      <w:pPr>
        <w:widowControl/>
        <w:numPr>
          <w:ilvl w:val="0"/>
          <w:numId w:val="3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dane dotyczące przedsiębiorstw</w:t>
      </w:r>
      <w:r w:rsidR="00E45B1D" w:rsidRPr="004E0F02">
        <w:rPr>
          <w:rFonts w:eastAsia="Calibri" w:cs="Times New Roman"/>
          <w:szCs w:val="24"/>
          <w:lang w:eastAsia="en-US"/>
        </w:rPr>
        <w:t xml:space="preserve"> i </w:t>
      </w:r>
      <w:r w:rsidRPr="004E0F02">
        <w:rPr>
          <w:rFonts w:eastAsia="Calibri" w:cs="Times New Roman"/>
          <w:szCs w:val="24"/>
          <w:lang w:eastAsia="en-US"/>
        </w:rPr>
        <w:t>ich własności;</w:t>
      </w:r>
    </w:p>
    <w:p w14:paraId="7236CA3B" w14:textId="77777777" w:rsidR="00A42682" w:rsidRPr="004E0F02" w:rsidRDefault="00A42682" w:rsidP="004D2DA7">
      <w:pPr>
        <w:widowControl/>
        <w:numPr>
          <w:ilvl w:val="0"/>
          <w:numId w:val="3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dane dotyczące mobilności.</w:t>
      </w:r>
    </w:p>
    <w:p w14:paraId="3AF93E0F" w14:textId="624CCD38" w:rsidR="00A42682" w:rsidRPr="004E0F02" w:rsidRDefault="00A42682" w:rsidP="00C00750">
      <w:pPr>
        <w:widowControl/>
        <w:spacing w:before="240" w:after="120" w:line="276" w:lineRule="auto"/>
        <w:jc w:val="both"/>
        <w:rPr>
          <w:rFonts w:eastAsia="Calibri" w:cs="Times New Roman"/>
          <w:szCs w:val="24"/>
          <w:lang w:eastAsia="en-US"/>
        </w:rPr>
      </w:pPr>
      <w:r w:rsidRPr="004E0F02">
        <w:rPr>
          <w:rFonts w:eastAsia="Calibri" w:cs="Times New Roman"/>
          <w:szCs w:val="24"/>
          <w:lang w:eastAsia="en-US"/>
        </w:rPr>
        <w:t>W motywie 6</w:t>
      </w:r>
      <w:r w:rsidR="00E45B1D" w:rsidRPr="004E0F02">
        <w:rPr>
          <w:rFonts w:eastAsia="Calibri" w:cs="Times New Roman"/>
          <w:szCs w:val="24"/>
          <w:lang w:eastAsia="en-US"/>
        </w:rPr>
        <w:t>6 </w:t>
      </w:r>
      <w:r w:rsidRPr="004E0F02">
        <w:rPr>
          <w:rFonts w:eastAsia="Calibri" w:cs="Times New Roman"/>
          <w:szCs w:val="24"/>
          <w:lang w:eastAsia="en-US"/>
        </w:rPr>
        <w:t>preambuły dyrektywy 2019/1024/UE wymieniono następujące przykłady zbiorów danych</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 mieszczące się</w:t>
      </w:r>
      <w:r w:rsidR="00E45B1D" w:rsidRPr="004E0F02">
        <w:rPr>
          <w:rFonts w:eastAsia="Calibri" w:cs="Times New Roman"/>
          <w:szCs w:val="24"/>
          <w:lang w:eastAsia="en-US"/>
        </w:rPr>
        <w:t xml:space="preserve"> w </w:t>
      </w:r>
      <w:r w:rsidRPr="004E0F02">
        <w:rPr>
          <w:rFonts w:eastAsia="Calibri" w:cs="Times New Roman"/>
          <w:szCs w:val="24"/>
          <w:lang w:eastAsia="en-US"/>
        </w:rPr>
        <w:t>sześciu powyższych kategoriach tematycznych: kody pocztowe, mapy krajowe</w:t>
      </w:r>
      <w:r w:rsidR="00E45B1D" w:rsidRPr="004E0F02">
        <w:rPr>
          <w:rFonts w:eastAsia="Calibri" w:cs="Times New Roman"/>
          <w:szCs w:val="24"/>
          <w:lang w:eastAsia="en-US"/>
        </w:rPr>
        <w:t xml:space="preserve"> i </w:t>
      </w:r>
      <w:r w:rsidRPr="004E0F02">
        <w:rPr>
          <w:rFonts w:eastAsia="Calibri" w:cs="Times New Roman"/>
          <w:szCs w:val="24"/>
          <w:lang w:eastAsia="en-US"/>
        </w:rPr>
        <w:t>lokalne (dane geoprzestrzenne), zużycie energii</w:t>
      </w:r>
      <w:r w:rsidR="00E45B1D" w:rsidRPr="004E0F02">
        <w:rPr>
          <w:rFonts w:eastAsia="Calibri" w:cs="Times New Roman"/>
          <w:szCs w:val="24"/>
          <w:lang w:eastAsia="en-US"/>
        </w:rPr>
        <w:t xml:space="preserve"> i </w:t>
      </w:r>
      <w:r w:rsidRPr="004E0F02">
        <w:rPr>
          <w:rFonts w:eastAsia="Calibri" w:cs="Times New Roman"/>
          <w:szCs w:val="24"/>
          <w:lang w:eastAsia="en-US"/>
        </w:rPr>
        <w:t>obrazy satelitarne (dane dotyczące obserwacji Ziemi</w:t>
      </w:r>
      <w:r w:rsidR="00E45B1D" w:rsidRPr="004E0F02">
        <w:rPr>
          <w:rFonts w:eastAsia="Calibri" w:cs="Times New Roman"/>
          <w:szCs w:val="24"/>
          <w:lang w:eastAsia="en-US"/>
        </w:rPr>
        <w:t xml:space="preserve"> i </w:t>
      </w:r>
      <w:r w:rsidRPr="004E0F02">
        <w:rPr>
          <w:rFonts w:eastAsia="Calibri" w:cs="Times New Roman"/>
          <w:szCs w:val="24"/>
          <w:lang w:eastAsia="en-US"/>
        </w:rPr>
        <w:t xml:space="preserve">środowiska), dane </w:t>
      </w:r>
      <w:r w:rsidRPr="004E0F02">
        <w:rPr>
          <w:rFonts w:eastAsia="Calibri" w:cs="Times New Roman"/>
          <w:i/>
          <w:szCs w:val="24"/>
          <w:lang w:eastAsia="en-US"/>
        </w:rPr>
        <w:t>in situ</w:t>
      </w:r>
      <w:r w:rsidRPr="004E0F02">
        <w:rPr>
          <w:rFonts w:eastAsia="Calibri" w:cs="Times New Roman"/>
          <w:szCs w:val="24"/>
          <w:lang w:eastAsia="en-US"/>
        </w:rPr>
        <w:t xml:space="preserve"> z</w:t>
      </w:r>
      <w:r w:rsidR="00A7674E" w:rsidRPr="004E0F02">
        <w:rPr>
          <w:rFonts w:eastAsia="Calibri" w:cs="Times New Roman"/>
          <w:szCs w:val="24"/>
          <w:lang w:eastAsia="en-US"/>
        </w:rPr>
        <w:t> </w:t>
      </w:r>
      <w:r w:rsidRPr="004E0F02">
        <w:rPr>
          <w:rFonts w:eastAsia="Calibri" w:cs="Times New Roman"/>
          <w:szCs w:val="24"/>
          <w:lang w:eastAsia="en-US"/>
        </w:rPr>
        <w:t>instrumentów</w:t>
      </w:r>
      <w:r w:rsidR="00E45B1D" w:rsidRPr="004E0F02">
        <w:rPr>
          <w:rFonts w:eastAsia="Calibri" w:cs="Times New Roman"/>
          <w:szCs w:val="24"/>
          <w:lang w:eastAsia="en-US"/>
        </w:rPr>
        <w:t xml:space="preserve"> i </w:t>
      </w:r>
      <w:r w:rsidRPr="004E0F02">
        <w:rPr>
          <w:rFonts w:eastAsia="Calibri" w:cs="Times New Roman"/>
          <w:szCs w:val="24"/>
          <w:lang w:eastAsia="en-US"/>
        </w:rPr>
        <w:t>prognozy pogody (dane meteorologiczne), wskaźniki demograficzne i</w:t>
      </w:r>
      <w:r w:rsidR="00A7674E" w:rsidRPr="004E0F02">
        <w:rPr>
          <w:rFonts w:eastAsia="Calibri" w:cs="Times New Roman"/>
          <w:szCs w:val="24"/>
          <w:lang w:eastAsia="en-US"/>
        </w:rPr>
        <w:t> </w:t>
      </w:r>
      <w:r w:rsidRPr="004E0F02">
        <w:rPr>
          <w:rFonts w:eastAsia="Calibri" w:cs="Times New Roman"/>
          <w:szCs w:val="24"/>
          <w:lang w:eastAsia="en-US"/>
        </w:rPr>
        <w:t>gospodarcze (dane statystyczne), rejestry przedsiębiorstw</w:t>
      </w:r>
      <w:r w:rsidR="00E45B1D" w:rsidRPr="004E0F02">
        <w:rPr>
          <w:rFonts w:eastAsia="Calibri" w:cs="Times New Roman"/>
          <w:szCs w:val="24"/>
          <w:lang w:eastAsia="en-US"/>
        </w:rPr>
        <w:t xml:space="preserve"> i </w:t>
      </w:r>
      <w:r w:rsidRPr="004E0F02">
        <w:rPr>
          <w:rFonts w:eastAsia="Calibri" w:cs="Times New Roman"/>
          <w:szCs w:val="24"/>
          <w:lang w:eastAsia="en-US"/>
        </w:rPr>
        <w:t>numery identyfikacyjne (dane dotyczące przedsiębiorstw</w:t>
      </w:r>
      <w:r w:rsidR="00E45B1D" w:rsidRPr="004E0F02">
        <w:rPr>
          <w:rFonts w:eastAsia="Calibri" w:cs="Times New Roman"/>
          <w:szCs w:val="24"/>
          <w:lang w:eastAsia="en-US"/>
        </w:rPr>
        <w:t xml:space="preserve"> i </w:t>
      </w:r>
      <w:r w:rsidRPr="004E0F02">
        <w:rPr>
          <w:rFonts w:eastAsia="Calibri" w:cs="Times New Roman"/>
          <w:szCs w:val="24"/>
          <w:lang w:eastAsia="en-US"/>
        </w:rPr>
        <w:t>ich własności), znaki drogowe</w:t>
      </w:r>
      <w:r w:rsidR="00E45B1D" w:rsidRPr="004E0F02">
        <w:rPr>
          <w:rFonts w:eastAsia="Calibri" w:cs="Times New Roman"/>
          <w:szCs w:val="24"/>
          <w:lang w:eastAsia="en-US"/>
        </w:rPr>
        <w:t xml:space="preserve"> i </w:t>
      </w:r>
      <w:r w:rsidRPr="004E0F02">
        <w:rPr>
          <w:rFonts w:eastAsia="Calibri" w:cs="Times New Roman"/>
          <w:szCs w:val="24"/>
          <w:lang w:eastAsia="en-US"/>
        </w:rPr>
        <w:t>śródlądowe drogi wodne (dane dotyczące mobilności).</w:t>
      </w:r>
    </w:p>
    <w:p w14:paraId="06CE8C69" w14:textId="5CDB6ED4"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 dyrektywie 2019/1024/UE przyjęto szczególne wymogi dotyczące publikacji</w:t>
      </w:r>
      <w:r w:rsidR="00E45B1D" w:rsidRPr="004E0F02">
        <w:rPr>
          <w:rFonts w:eastAsia="Calibri" w:cs="Times New Roman"/>
          <w:szCs w:val="24"/>
          <w:lang w:eastAsia="en-US"/>
        </w:rPr>
        <w:t xml:space="preserve"> i </w:t>
      </w:r>
      <w:r w:rsidRPr="004E0F02">
        <w:rPr>
          <w:rFonts w:eastAsia="Calibri" w:cs="Times New Roman"/>
          <w:szCs w:val="24"/>
          <w:lang w:eastAsia="en-US"/>
        </w:rPr>
        <w:t>ponownego wykorzystywania danych</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 które wiązać należy</w:t>
      </w:r>
      <w:r w:rsidR="00E45B1D" w:rsidRPr="004E0F02">
        <w:rPr>
          <w:rFonts w:eastAsia="Calibri" w:cs="Times New Roman"/>
          <w:szCs w:val="24"/>
          <w:lang w:eastAsia="en-US"/>
        </w:rPr>
        <w:t xml:space="preserve"> z </w:t>
      </w:r>
      <w:r w:rsidRPr="004E0F02">
        <w:rPr>
          <w:rFonts w:eastAsia="Calibri" w:cs="Times New Roman"/>
          <w:szCs w:val="24"/>
          <w:lang w:eastAsia="en-US"/>
        </w:rPr>
        <w:t>koniecznością zapewnienia możliwości pełnego wykorzystania ich potencjału oraz zapewnienia maksymalnych korzyści społeczno</w:t>
      </w:r>
      <w:r w:rsidR="00E45B1D" w:rsidRPr="004E0F02">
        <w:rPr>
          <w:rFonts w:eastAsia="Calibri" w:cs="Times New Roman"/>
          <w:szCs w:val="24"/>
          <w:lang w:eastAsia="en-US"/>
        </w:rPr>
        <w:softHyphen/>
      </w:r>
      <w:r w:rsidR="00E45B1D" w:rsidRPr="004E0F02">
        <w:rPr>
          <w:rFonts w:eastAsia="Calibri" w:cs="Times New Roman"/>
          <w:szCs w:val="24"/>
          <w:lang w:eastAsia="en-US"/>
        </w:rPr>
        <w:noBreakHyphen/>
      </w:r>
      <w:r w:rsidRPr="004E0F02">
        <w:rPr>
          <w:rFonts w:eastAsia="Calibri" w:cs="Times New Roman"/>
          <w:szCs w:val="24"/>
          <w:lang w:eastAsia="en-US"/>
        </w:rPr>
        <w:t>ekonomicznych lub środowiskowych wynikających z</w:t>
      </w:r>
      <w:r w:rsidR="00AE1C57" w:rsidRPr="004E0F02">
        <w:rPr>
          <w:rFonts w:eastAsia="Calibri" w:cs="Times New Roman"/>
          <w:szCs w:val="24"/>
          <w:lang w:eastAsia="en-US"/>
        </w:rPr>
        <w:t> </w:t>
      </w:r>
      <w:r w:rsidRPr="004E0F02">
        <w:rPr>
          <w:rFonts w:eastAsia="Calibri" w:cs="Times New Roman"/>
          <w:szCs w:val="24"/>
          <w:lang w:eastAsia="en-US"/>
        </w:rPr>
        <w:t>udostępniania takich zasobów dużej liczbie użytkowników.</w:t>
      </w:r>
      <w:r w:rsidR="00E45B1D" w:rsidRPr="004E0F02">
        <w:rPr>
          <w:rFonts w:eastAsia="Calibri" w:cs="Times New Roman"/>
          <w:szCs w:val="24"/>
          <w:lang w:eastAsia="en-US"/>
        </w:rPr>
        <w:t xml:space="preserve"> W </w:t>
      </w:r>
      <w:r w:rsidRPr="004E0F02">
        <w:rPr>
          <w:rFonts w:eastAsia="Calibri" w:cs="Times New Roman"/>
          <w:szCs w:val="24"/>
          <w:lang w:eastAsia="en-US"/>
        </w:rPr>
        <w:t>odniesieniu do rozwiązań przyjętych na gruncie dyrektywy,</w:t>
      </w:r>
      <w:r w:rsidR="00E45B1D" w:rsidRPr="004E0F02">
        <w:rPr>
          <w:rFonts w:eastAsia="Calibri" w:cs="Times New Roman"/>
          <w:szCs w:val="24"/>
          <w:lang w:eastAsia="en-US"/>
        </w:rPr>
        <w:t xml:space="preserve"> w art. </w:t>
      </w:r>
      <w:r w:rsidRPr="004E0F02">
        <w:rPr>
          <w:rFonts w:eastAsia="Calibri" w:cs="Times New Roman"/>
          <w:szCs w:val="24"/>
          <w:lang w:eastAsia="en-US"/>
        </w:rPr>
        <w:t>2</w:t>
      </w:r>
      <w:r w:rsidR="00E45B1D" w:rsidRPr="004E0F02">
        <w:rPr>
          <w:rFonts w:eastAsia="Calibri" w:cs="Times New Roman"/>
          <w:szCs w:val="24"/>
          <w:lang w:eastAsia="en-US"/>
        </w:rPr>
        <w:t>5 ust. 1 </w:t>
      </w:r>
      <w:r w:rsidRPr="004E0F02">
        <w:rPr>
          <w:rFonts w:eastAsia="Calibri" w:cs="Times New Roman"/>
          <w:szCs w:val="24"/>
          <w:lang w:eastAsia="en-US"/>
        </w:rPr>
        <w:t>projektu ustawy wprowadzono szczególne warunki udostępniania danych</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w:t>
      </w:r>
      <w:r w:rsidR="00E45B1D" w:rsidRPr="004E0F02">
        <w:rPr>
          <w:rFonts w:eastAsia="Calibri" w:cs="Times New Roman"/>
          <w:szCs w:val="24"/>
          <w:lang w:eastAsia="en-US"/>
        </w:rPr>
        <w:t xml:space="preserve"> w </w:t>
      </w:r>
      <w:r w:rsidRPr="004E0F02">
        <w:rPr>
          <w:rFonts w:eastAsia="Calibri" w:cs="Times New Roman"/>
          <w:szCs w:val="24"/>
          <w:lang w:eastAsia="en-US"/>
        </w:rPr>
        <w:t>celu ich ponownego wykorzystywania. Dane takie muszą być udostępniane bezpłatnie,</w:t>
      </w:r>
      <w:r w:rsidR="00E45B1D" w:rsidRPr="004E0F02">
        <w:rPr>
          <w:rFonts w:eastAsia="Calibri" w:cs="Times New Roman"/>
          <w:szCs w:val="24"/>
          <w:lang w:eastAsia="en-US"/>
        </w:rPr>
        <w:t xml:space="preserve"> w </w:t>
      </w:r>
      <w:r w:rsidRPr="004E0F02">
        <w:rPr>
          <w:rFonts w:eastAsia="Calibri" w:cs="Times New Roman"/>
          <w:szCs w:val="24"/>
          <w:lang w:eastAsia="en-US"/>
        </w:rPr>
        <w:t>formacie nadającym się do odczytu maszynowego, za pośrednictwem API oraz jeżeli to możliwe – do zbiorczego pobrania. W</w:t>
      </w:r>
      <w:r w:rsidR="00A7674E" w:rsidRPr="004E0F02">
        <w:rPr>
          <w:rFonts w:eastAsia="Calibri" w:cs="Times New Roman"/>
          <w:szCs w:val="24"/>
          <w:lang w:eastAsia="en-US"/>
        </w:rPr>
        <w:t> </w:t>
      </w:r>
      <w:r w:rsidRPr="004E0F02">
        <w:rPr>
          <w:rFonts w:eastAsia="Calibri" w:cs="Times New Roman"/>
          <w:szCs w:val="24"/>
          <w:lang w:eastAsia="en-US"/>
        </w:rPr>
        <w:t>projekcie ustawy uwzględniono również wprowadzone</w:t>
      </w:r>
      <w:r w:rsidR="00E45B1D" w:rsidRPr="004E0F02">
        <w:rPr>
          <w:rFonts w:eastAsia="Calibri" w:cs="Times New Roman"/>
          <w:szCs w:val="24"/>
          <w:lang w:eastAsia="en-US"/>
        </w:rPr>
        <w:t xml:space="preserve"> w </w:t>
      </w:r>
      <w:r w:rsidRPr="004E0F02">
        <w:rPr>
          <w:rFonts w:eastAsia="Calibri" w:cs="Times New Roman"/>
          <w:szCs w:val="24"/>
          <w:lang w:eastAsia="en-US"/>
        </w:rPr>
        <w:t>przepisach dyrektywy wyjątki od</w:t>
      </w:r>
      <w:r w:rsidR="00A7674E" w:rsidRPr="004E0F02">
        <w:rPr>
          <w:rFonts w:eastAsia="Calibri" w:cs="Times New Roman"/>
          <w:szCs w:val="24"/>
          <w:lang w:eastAsia="en-US"/>
        </w:rPr>
        <w:t> </w:t>
      </w:r>
      <w:r w:rsidRPr="004E0F02">
        <w:rPr>
          <w:rFonts w:eastAsia="Calibri" w:cs="Times New Roman"/>
          <w:szCs w:val="24"/>
          <w:lang w:eastAsia="en-US"/>
        </w:rPr>
        <w:t>wymogu bezpłatnego udostępniania zbiorów danych</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 W dyrektywie 2019/1024/UE wskazany wymóg nie dotyczy m.in. bibliotek,</w:t>
      </w:r>
      <w:r w:rsidR="00E45B1D" w:rsidRPr="004E0F02">
        <w:rPr>
          <w:rFonts w:eastAsia="Calibri" w:cs="Times New Roman"/>
          <w:szCs w:val="24"/>
          <w:lang w:eastAsia="en-US"/>
        </w:rPr>
        <w:t xml:space="preserve"> w </w:t>
      </w:r>
      <w:r w:rsidRPr="004E0F02">
        <w:rPr>
          <w:rFonts w:eastAsia="Calibri" w:cs="Times New Roman"/>
          <w:szCs w:val="24"/>
          <w:lang w:eastAsia="en-US"/>
        </w:rPr>
        <w:t>tym bibliotek uniwersyteckich, muzeów</w:t>
      </w:r>
      <w:r w:rsidR="00E45B1D" w:rsidRPr="004E0F02">
        <w:rPr>
          <w:rFonts w:eastAsia="Calibri" w:cs="Times New Roman"/>
          <w:szCs w:val="24"/>
          <w:lang w:eastAsia="en-US"/>
        </w:rPr>
        <w:t xml:space="preserve"> i </w:t>
      </w:r>
      <w:r w:rsidRPr="004E0F02">
        <w:rPr>
          <w:rFonts w:eastAsia="Calibri" w:cs="Times New Roman"/>
          <w:szCs w:val="24"/>
          <w:lang w:eastAsia="en-US"/>
        </w:rPr>
        <w:t>archiwów,</w:t>
      </w:r>
      <w:r w:rsidR="00E45B1D" w:rsidRPr="004E0F02">
        <w:rPr>
          <w:rFonts w:eastAsia="Calibri" w:cs="Times New Roman"/>
          <w:szCs w:val="24"/>
          <w:lang w:eastAsia="en-US"/>
        </w:rPr>
        <w:t xml:space="preserve"> a </w:t>
      </w:r>
      <w:r w:rsidRPr="004E0F02">
        <w:rPr>
          <w:rFonts w:eastAsia="Calibri" w:cs="Times New Roman"/>
          <w:szCs w:val="24"/>
          <w:lang w:eastAsia="en-US"/>
        </w:rPr>
        <w:t>także przedsiębiorstw publicznych</w:t>
      </w:r>
      <w:r w:rsidR="00E45B1D" w:rsidRPr="004E0F02">
        <w:rPr>
          <w:rFonts w:eastAsia="Calibri" w:cs="Times New Roman"/>
          <w:szCs w:val="24"/>
          <w:lang w:eastAsia="en-US"/>
        </w:rPr>
        <w:t xml:space="preserve"> w </w:t>
      </w:r>
      <w:r w:rsidRPr="004E0F02">
        <w:rPr>
          <w:rFonts w:eastAsia="Calibri" w:cs="Times New Roman"/>
          <w:szCs w:val="24"/>
          <w:lang w:eastAsia="en-US"/>
        </w:rPr>
        <w:t>rozumieniu</w:t>
      </w:r>
      <w:r w:rsidR="00E45B1D" w:rsidRPr="004E0F02">
        <w:rPr>
          <w:rFonts w:eastAsia="Calibri" w:cs="Times New Roman"/>
          <w:szCs w:val="24"/>
          <w:lang w:eastAsia="en-US"/>
        </w:rPr>
        <w:t xml:space="preserve"> art. 2 pkt 3 </w:t>
      </w:r>
      <w:r w:rsidRPr="004E0F02">
        <w:rPr>
          <w:rFonts w:eastAsia="Calibri" w:cs="Times New Roman"/>
          <w:szCs w:val="24"/>
          <w:lang w:eastAsia="en-US"/>
        </w:rPr>
        <w:t>dyrektywy. Analogicznie do wskazanych rozwiązań,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2</w:t>
      </w:r>
      <w:r w:rsidR="00E45B1D" w:rsidRPr="004E0F02">
        <w:rPr>
          <w:rFonts w:eastAsia="Calibri" w:cs="Times New Roman"/>
          <w:szCs w:val="24"/>
          <w:lang w:eastAsia="en-US"/>
        </w:rPr>
        <w:t>5 ust. 2 </w:t>
      </w:r>
      <w:r w:rsidRPr="004E0F02">
        <w:rPr>
          <w:rFonts w:eastAsia="Calibri" w:cs="Times New Roman"/>
          <w:szCs w:val="24"/>
          <w:lang w:eastAsia="en-US"/>
        </w:rPr>
        <w:t xml:space="preserve">projektu </w:t>
      </w:r>
      <w:r w:rsidRPr="004E0F02">
        <w:rPr>
          <w:rFonts w:eastAsia="Calibri" w:cs="Times New Roman"/>
          <w:szCs w:val="24"/>
          <w:lang w:eastAsia="en-US"/>
        </w:rPr>
        <w:lastRenderedPageBreak/>
        <w:t>ustawy, muzea państwowe, muzea samorządowe, biblioteki publiczne, biblioteki naukowe</w:t>
      </w:r>
      <w:r w:rsidR="00E45B1D" w:rsidRPr="004E0F02">
        <w:rPr>
          <w:rFonts w:eastAsia="Calibri" w:cs="Times New Roman"/>
          <w:szCs w:val="24"/>
          <w:lang w:eastAsia="en-US"/>
        </w:rPr>
        <w:t xml:space="preserve"> i </w:t>
      </w:r>
      <w:r w:rsidRPr="004E0F02">
        <w:rPr>
          <w:rFonts w:eastAsia="Calibri" w:cs="Times New Roman"/>
          <w:szCs w:val="24"/>
          <w:lang w:eastAsia="en-US"/>
        </w:rPr>
        <w:t>archiwa oraz podmioty,</w:t>
      </w:r>
      <w:r w:rsidR="00E45B1D" w:rsidRPr="004E0F02">
        <w:rPr>
          <w:rFonts w:eastAsia="Calibri" w:cs="Times New Roman"/>
          <w:szCs w:val="24"/>
          <w:lang w:eastAsia="en-US"/>
        </w:rPr>
        <w:t xml:space="preserve"> o </w:t>
      </w:r>
      <w:r w:rsidRPr="004E0F02">
        <w:rPr>
          <w:rFonts w:eastAsia="Calibri" w:cs="Times New Roman"/>
          <w:szCs w:val="24"/>
          <w:lang w:eastAsia="en-US"/>
        </w:rPr>
        <w:t>których mowa</w:t>
      </w:r>
      <w:r w:rsidR="00E45B1D" w:rsidRPr="004E0F02">
        <w:rPr>
          <w:rFonts w:eastAsia="Calibri" w:cs="Times New Roman"/>
          <w:szCs w:val="24"/>
          <w:lang w:eastAsia="en-US"/>
        </w:rPr>
        <w:t xml:space="preserve"> w art. 3 pkt 5 </w:t>
      </w:r>
      <w:r w:rsidRPr="004E0F02">
        <w:rPr>
          <w:rFonts w:eastAsia="Calibri" w:cs="Times New Roman"/>
          <w:szCs w:val="24"/>
          <w:lang w:eastAsia="en-US"/>
        </w:rPr>
        <w:t>projektu ustawy,</w:t>
      </w:r>
      <w:r w:rsidR="00E45B1D" w:rsidRPr="004E0F02">
        <w:rPr>
          <w:rFonts w:eastAsia="Calibri" w:cs="Times New Roman"/>
          <w:szCs w:val="24"/>
          <w:lang w:eastAsia="en-US"/>
        </w:rPr>
        <w:t xml:space="preserve"> w </w:t>
      </w:r>
      <w:r w:rsidRPr="004E0F02">
        <w:rPr>
          <w:rFonts w:eastAsia="Calibri" w:cs="Times New Roman"/>
          <w:szCs w:val="24"/>
          <w:lang w:eastAsia="en-US"/>
        </w:rPr>
        <w:t>przypadku udostępniania danych o wysokiej wartości</w:t>
      </w:r>
      <w:r w:rsidR="00E45B1D" w:rsidRPr="004E0F02">
        <w:rPr>
          <w:rFonts w:eastAsia="Calibri" w:cs="Times New Roman"/>
          <w:szCs w:val="24"/>
          <w:lang w:eastAsia="en-US"/>
        </w:rPr>
        <w:t xml:space="preserve"> w </w:t>
      </w:r>
      <w:r w:rsidRPr="004E0F02">
        <w:rPr>
          <w:rFonts w:eastAsia="Calibri" w:cs="Times New Roman"/>
          <w:szCs w:val="24"/>
          <w:lang w:eastAsia="en-US"/>
        </w:rPr>
        <w:t>celu ich ponownego wykorzystywania, będą mogły (w drodze wyjątku) nakładać opłaty za ponowne wykorzystywanie zgodnie</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przepisami rozdziału </w:t>
      </w:r>
      <w:r w:rsidR="00E45B1D" w:rsidRPr="004E0F02">
        <w:rPr>
          <w:rFonts w:eastAsia="Calibri" w:cs="Times New Roman"/>
          <w:szCs w:val="24"/>
          <w:lang w:eastAsia="en-US"/>
        </w:rPr>
        <w:t>4 </w:t>
      </w:r>
      <w:r w:rsidRPr="004E0F02">
        <w:rPr>
          <w:rFonts w:eastAsia="Calibri" w:cs="Times New Roman"/>
          <w:szCs w:val="24"/>
          <w:lang w:eastAsia="en-US"/>
        </w:rPr>
        <w:t>ustawy (przepisami dot. opłat).</w:t>
      </w:r>
    </w:p>
    <w:p w14:paraId="324D86EB" w14:textId="60E1B842" w:rsidR="00AC428D" w:rsidRPr="004E0F02" w:rsidRDefault="00A42682" w:rsidP="006B4424">
      <w:pPr>
        <w:widowControl/>
        <w:spacing w:after="120" w:line="276" w:lineRule="auto"/>
        <w:jc w:val="both"/>
        <w:rPr>
          <w:rFonts w:eastAsia="Calibri" w:cs="Times New Roman"/>
          <w:szCs w:val="24"/>
          <w:lang w:eastAsia="en-US"/>
        </w:rPr>
      </w:pPr>
      <w:r w:rsidRPr="004E0F02">
        <w:rPr>
          <w:rFonts w:eastAsia="Calibri" w:cs="Times New Roman"/>
          <w:szCs w:val="24"/>
          <w:lang w:eastAsia="en-US"/>
        </w:rPr>
        <w:t xml:space="preserve">W dyrektywie 2019/1024/UE przyjęto następujący mechanizm </w:t>
      </w:r>
      <w:r w:rsidR="00E45B1D" w:rsidRPr="004E0F02">
        <w:rPr>
          <w:rFonts w:eastAsia="Calibri" w:cs="Times New Roman"/>
          <w:szCs w:val="24"/>
          <w:lang w:eastAsia="en-US"/>
        </w:rPr>
        <w:t>„</w:t>
      </w:r>
      <w:r w:rsidRPr="004E0F02">
        <w:rPr>
          <w:rFonts w:eastAsia="Calibri" w:cs="Times New Roman"/>
          <w:szCs w:val="24"/>
          <w:lang w:eastAsia="en-US"/>
        </w:rPr>
        <w:t>uwalniający</w:t>
      </w:r>
      <w:r w:rsidR="00E45B1D" w:rsidRPr="004E0F02">
        <w:rPr>
          <w:rFonts w:eastAsia="Calibri" w:cs="Times New Roman"/>
          <w:szCs w:val="24"/>
          <w:lang w:eastAsia="en-US"/>
        </w:rPr>
        <w:t>”</w:t>
      </w:r>
      <w:r w:rsidRPr="004E0F02">
        <w:rPr>
          <w:rFonts w:eastAsia="Calibri" w:cs="Times New Roman"/>
          <w:szCs w:val="24"/>
          <w:lang w:eastAsia="en-US"/>
        </w:rPr>
        <w:t xml:space="preserve"> dane</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 do ponownego wykorzystywania. Spośród wymienionych</w:t>
      </w:r>
      <w:r w:rsidR="00E45B1D" w:rsidRPr="004E0F02">
        <w:rPr>
          <w:rFonts w:eastAsia="Calibri" w:cs="Times New Roman"/>
          <w:szCs w:val="24"/>
          <w:lang w:eastAsia="en-US"/>
        </w:rPr>
        <w:t xml:space="preserve"> w </w:t>
      </w:r>
      <w:r w:rsidRPr="004E0F02">
        <w:rPr>
          <w:rFonts w:eastAsia="Calibri" w:cs="Times New Roman"/>
          <w:szCs w:val="24"/>
          <w:lang w:eastAsia="en-US"/>
        </w:rPr>
        <w:t>załączniku I</w:t>
      </w:r>
      <w:r w:rsidR="00A7674E" w:rsidRPr="004E0F02">
        <w:rPr>
          <w:rFonts w:eastAsia="Calibri" w:cs="Times New Roman"/>
          <w:szCs w:val="24"/>
          <w:lang w:eastAsia="en-US"/>
        </w:rPr>
        <w:t> </w:t>
      </w:r>
      <w:r w:rsidRPr="004E0F02">
        <w:rPr>
          <w:rFonts w:eastAsia="Calibri" w:cs="Times New Roman"/>
          <w:szCs w:val="24"/>
          <w:lang w:eastAsia="en-US"/>
        </w:rPr>
        <w:t>do</w:t>
      </w:r>
      <w:r w:rsidR="00A7674E" w:rsidRPr="004E0F02">
        <w:rPr>
          <w:rFonts w:eastAsia="Calibri" w:cs="Times New Roman"/>
          <w:szCs w:val="24"/>
          <w:lang w:eastAsia="en-US"/>
        </w:rPr>
        <w:t> </w:t>
      </w:r>
      <w:r w:rsidRPr="004E0F02">
        <w:rPr>
          <w:rFonts w:eastAsia="Calibri" w:cs="Times New Roman"/>
          <w:szCs w:val="24"/>
          <w:lang w:eastAsia="en-US"/>
        </w:rPr>
        <w:t>dyrektywy sześciu kategorii tematycznych Komisja Europejska –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4 ust. 1 </w:t>
      </w:r>
      <w:r w:rsidRPr="004E0F02">
        <w:rPr>
          <w:rFonts w:eastAsia="Calibri" w:cs="Times New Roman"/>
          <w:szCs w:val="24"/>
          <w:lang w:eastAsia="en-US"/>
        </w:rPr>
        <w:t xml:space="preserve">dyrektywy 2019/1024/UE </w:t>
      </w:r>
      <w:r w:rsidR="00E45B1D" w:rsidRPr="004E0F02">
        <w:rPr>
          <w:rFonts w:eastAsia="Calibri" w:cs="Times New Roman"/>
          <w:szCs w:val="24"/>
          <w:lang w:eastAsia="en-US"/>
        </w:rPr>
        <w:noBreakHyphen/>
        <w:t xml:space="preserve"> w </w:t>
      </w:r>
      <w:r w:rsidRPr="004E0F02">
        <w:rPr>
          <w:rFonts w:eastAsia="Calibri" w:cs="Times New Roman"/>
          <w:szCs w:val="24"/>
          <w:lang w:eastAsia="en-US"/>
        </w:rPr>
        <w:t>drodze</w:t>
      </w:r>
      <w:r w:rsidR="0017195B" w:rsidRPr="004E0F02">
        <w:rPr>
          <w:rFonts w:eastAsia="Calibri" w:cs="Times New Roman"/>
          <w:szCs w:val="24"/>
          <w:lang w:eastAsia="en-US"/>
        </w:rPr>
        <w:t xml:space="preserve"> </w:t>
      </w:r>
      <w:r w:rsidRPr="004E0F02">
        <w:rPr>
          <w:rFonts w:eastAsia="Calibri" w:cs="Times New Roman"/>
          <w:szCs w:val="24"/>
          <w:lang w:eastAsia="en-US"/>
        </w:rPr>
        <w:t>aktu wykonawczego ustanowi wykaz będących w</w:t>
      </w:r>
      <w:r w:rsidR="0017195B" w:rsidRPr="004E0F02">
        <w:rPr>
          <w:rFonts w:eastAsia="Calibri" w:cs="Times New Roman"/>
          <w:szCs w:val="24"/>
          <w:lang w:eastAsia="en-US"/>
        </w:rPr>
        <w:t> </w:t>
      </w:r>
      <w:r w:rsidRPr="004E0F02">
        <w:rPr>
          <w:rFonts w:eastAsia="Calibri" w:cs="Times New Roman"/>
          <w:szCs w:val="24"/>
          <w:lang w:eastAsia="en-US"/>
        </w:rPr>
        <w:t>posiadaniu organów sektora publicznego lub przedsiębiorstw publicznych szczególnych zbiorów danych</w:t>
      </w:r>
      <w:r w:rsidR="00E45B1D" w:rsidRPr="004E0F02">
        <w:rPr>
          <w:rFonts w:eastAsia="Calibri" w:cs="Times New Roman"/>
          <w:szCs w:val="24"/>
          <w:lang w:eastAsia="en-US"/>
        </w:rPr>
        <w:t xml:space="preserve"> o </w:t>
      </w:r>
      <w:r w:rsidRPr="004E0F02">
        <w:rPr>
          <w:rFonts w:eastAsia="Calibri" w:cs="Times New Roman"/>
          <w:szCs w:val="24"/>
          <w:lang w:eastAsia="en-US"/>
        </w:rPr>
        <w:t>wysokiej wartości.</w:t>
      </w:r>
      <w:r w:rsidR="00E45B1D" w:rsidRPr="004E0F02">
        <w:rPr>
          <w:rFonts w:eastAsia="Calibri" w:cs="Times New Roman"/>
          <w:szCs w:val="24"/>
          <w:lang w:eastAsia="en-US"/>
        </w:rPr>
        <w:t xml:space="preserve"> </w:t>
      </w:r>
      <w:r w:rsidR="006B4424" w:rsidRPr="004E0F02">
        <w:rPr>
          <w:rFonts w:eastAsia="Calibri" w:cs="Times New Roman"/>
          <w:szCs w:val="24"/>
          <w:lang w:eastAsia="en-US"/>
        </w:rPr>
        <w:t xml:space="preserve"> W odniesieniu do powyższego </w:t>
      </w:r>
      <w:r w:rsidR="00AC428D" w:rsidRPr="004E0F02">
        <w:rPr>
          <w:rFonts w:eastAsia="Calibri" w:cs="Times New Roman"/>
          <w:szCs w:val="24"/>
          <w:lang w:eastAsia="en-US"/>
        </w:rPr>
        <w:t xml:space="preserve">w </w:t>
      </w:r>
      <w:r w:rsidR="006B4424" w:rsidRPr="004E0F02">
        <w:rPr>
          <w:rFonts w:eastAsia="Calibri" w:cs="Times New Roman"/>
          <w:szCs w:val="24"/>
          <w:lang w:eastAsia="en-US"/>
        </w:rPr>
        <w:t>projekcie ustawy wprowadzone zostały upoważnienia do wydania rozporządzeń, w których ministrowie właściwi ze względu na zasoby danych mieszczące się w kategoriach tematycznych</w:t>
      </w:r>
      <w:r w:rsidR="00AC428D" w:rsidRPr="004E0F02">
        <w:rPr>
          <w:rFonts w:eastAsia="Calibri" w:cs="Times New Roman"/>
          <w:szCs w:val="24"/>
          <w:lang w:eastAsia="en-US"/>
        </w:rPr>
        <w:t>:</w:t>
      </w:r>
    </w:p>
    <w:p w14:paraId="2C44D216" w14:textId="55E5C35F" w:rsidR="00AC428D" w:rsidRPr="004E0F02" w:rsidRDefault="00AC428D" w:rsidP="00AC428D">
      <w:pPr>
        <w:pStyle w:val="Akapitzlist"/>
        <w:numPr>
          <w:ilvl w:val="0"/>
          <w:numId w:val="42"/>
        </w:numPr>
        <w:spacing w:after="120"/>
        <w:jc w:val="both"/>
        <w:rPr>
          <w:rFonts w:ascii="Times New Roman" w:hAnsi="Times New Roman"/>
          <w:sz w:val="24"/>
          <w:szCs w:val="24"/>
        </w:rPr>
      </w:pPr>
      <w:r w:rsidRPr="004E0F02">
        <w:rPr>
          <w:rFonts w:ascii="Times New Roman" w:hAnsi="Times New Roman"/>
          <w:sz w:val="24"/>
          <w:szCs w:val="24"/>
        </w:rPr>
        <w:t xml:space="preserve">dane geoprzestrzenne, </w:t>
      </w:r>
    </w:p>
    <w:p w14:paraId="04E3979D" w14:textId="6A84EA6D" w:rsidR="00AC428D" w:rsidRPr="004E0F02" w:rsidRDefault="00AC428D" w:rsidP="00AC428D">
      <w:pPr>
        <w:pStyle w:val="Akapitzlist"/>
        <w:numPr>
          <w:ilvl w:val="0"/>
          <w:numId w:val="42"/>
        </w:numPr>
        <w:spacing w:after="120"/>
        <w:jc w:val="both"/>
        <w:rPr>
          <w:rFonts w:ascii="Times New Roman" w:hAnsi="Times New Roman"/>
          <w:sz w:val="24"/>
          <w:szCs w:val="24"/>
        </w:rPr>
      </w:pPr>
      <w:r w:rsidRPr="004E0F02">
        <w:rPr>
          <w:rFonts w:ascii="Times New Roman" w:hAnsi="Times New Roman"/>
          <w:sz w:val="24"/>
          <w:szCs w:val="24"/>
        </w:rPr>
        <w:t xml:space="preserve">dane dotyczące obserwacji Ziemi i środowiska, </w:t>
      </w:r>
    </w:p>
    <w:p w14:paraId="34C9FBDA" w14:textId="26DA38CE" w:rsidR="00AC428D" w:rsidRPr="004E0F02" w:rsidRDefault="00AC428D" w:rsidP="00AC428D">
      <w:pPr>
        <w:pStyle w:val="Akapitzlist"/>
        <w:numPr>
          <w:ilvl w:val="0"/>
          <w:numId w:val="42"/>
        </w:numPr>
        <w:spacing w:after="120"/>
        <w:jc w:val="both"/>
        <w:rPr>
          <w:rFonts w:ascii="Times New Roman" w:hAnsi="Times New Roman"/>
          <w:sz w:val="24"/>
          <w:szCs w:val="24"/>
        </w:rPr>
      </w:pPr>
      <w:r w:rsidRPr="004E0F02">
        <w:rPr>
          <w:rFonts w:ascii="Times New Roman" w:hAnsi="Times New Roman"/>
          <w:sz w:val="24"/>
          <w:szCs w:val="24"/>
        </w:rPr>
        <w:t>dane meteorologiczne,</w:t>
      </w:r>
    </w:p>
    <w:p w14:paraId="1FF1E6A2" w14:textId="1CC1F674" w:rsidR="00AC428D" w:rsidRPr="004E0F02" w:rsidRDefault="00AC428D" w:rsidP="00AC428D">
      <w:pPr>
        <w:pStyle w:val="Akapitzlist"/>
        <w:numPr>
          <w:ilvl w:val="0"/>
          <w:numId w:val="42"/>
        </w:numPr>
        <w:spacing w:after="120"/>
        <w:jc w:val="both"/>
        <w:rPr>
          <w:rFonts w:ascii="Times New Roman" w:hAnsi="Times New Roman"/>
          <w:sz w:val="24"/>
          <w:szCs w:val="24"/>
        </w:rPr>
      </w:pPr>
      <w:r w:rsidRPr="004E0F02">
        <w:rPr>
          <w:rFonts w:ascii="Times New Roman" w:hAnsi="Times New Roman"/>
          <w:sz w:val="24"/>
          <w:szCs w:val="24"/>
        </w:rPr>
        <w:t xml:space="preserve">dane dotyczące przedsiębiorstw i ich własności, </w:t>
      </w:r>
    </w:p>
    <w:p w14:paraId="7E8A9894" w14:textId="480AF7E9" w:rsidR="00AC428D" w:rsidRPr="004E0F02" w:rsidRDefault="00AC428D" w:rsidP="00AC428D">
      <w:pPr>
        <w:pStyle w:val="Akapitzlist"/>
        <w:numPr>
          <w:ilvl w:val="0"/>
          <w:numId w:val="42"/>
        </w:numPr>
        <w:spacing w:after="120"/>
        <w:jc w:val="both"/>
        <w:rPr>
          <w:rFonts w:ascii="Times New Roman" w:hAnsi="Times New Roman"/>
          <w:sz w:val="24"/>
          <w:szCs w:val="24"/>
        </w:rPr>
      </w:pPr>
      <w:r w:rsidRPr="004E0F02">
        <w:rPr>
          <w:rFonts w:ascii="Times New Roman" w:hAnsi="Times New Roman"/>
          <w:sz w:val="24"/>
          <w:szCs w:val="24"/>
        </w:rPr>
        <w:t>dane dotyczące mobilności</w:t>
      </w:r>
    </w:p>
    <w:p w14:paraId="768F0386" w14:textId="3504F7D5" w:rsidR="00A42682" w:rsidRPr="004E0F02" w:rsidRDefault="006B4424" w:rsidP="004D2DA7">
      <w:pPr>
        <w:keepNext/>
        <w:widowControl/>
        <w:numPr>
          <w:ilvl w:val="0"/>
          <w:numId w:val="33"/>
        </w:numPr>
        <w:autoSpaceDE/>
        <w:autoSpaceDN/>
        <w:adjustRightInd/>
        <w:spacing w:after="120" w:line="276" w:lineRule="auto"/>
        <w:jc w:val="both"/>
        <w:rPr>
          <w:rFonts w:eastAsia="Times New Roman" w:cs="Times New Roman"/>
          <w:bCs/>
          <w:szCs w:val="24"/>
        </w:rPr>
      </w:pPr>
      <w:r w:rsidRPr="004E0F02">
        <w:rPr>
          <w:rFonts w:eastAsia="Calibri" w:cs="Times New Roman"/>
          <w:szCs w:val="24"/>
          <w:lang w:eastAsia="en-US"/>
        </w:rPr>
        <w:t>określą</w:t>
      </w:r>
      <w:r w:rsidR="00AC428D" w:rsidRPr="004E0F02">
        <w:rPr>
          <w:rFonts w:eastAsia="Calibri" w:cs="Times New Roman"/>
          <w:szCs w:val="24"/>
          <w:lang w:eastAsia="en-US"/>
        </w:rPr>
        <w:t xml:space="preserve"> w porozumieniu</w:t>
      </w:r>
      <w:r w:rsidR="00AC428D" w:rsidRPr="004E0F02">
        <w:t xml:space="preserve"> </w:t>
      </w:r>
      <w:r w:rsidR="00AC428D" w:rsidRPr="004E0F02">
        <w:rPr>
          <w:rFonts w:eastAsia="Calibri" w:cs="Times New Roman"/>
          <w:szCs w:val="24"/>
          <w:lang w:eastAsia="en-US"/>
        </w:rPr>
        <w:t>z ministrem właściwym do spraw informatyzacji</w:t>
      </w:r>
      <w:r w:rsidRPr="004E0F02">
        <w:rPr>
          <w:rFonts w:eastAsia="Calibri" w:cs="Times New Roman"/>
          <w:szCs w:val="24"/>
          <w:lang w:eastAsia="en-US"/>
        </w:rPr>
        <w:t xml:space="preserve">: </w:t>
      </w:r>
      <w:r w:rsidR="00A42682" w:rsidRPr="004E0F02">
        <w:rPr>
          <w:rFonts w:eastAsia="Times New Roman" w:cs="Times New Roman"/>
          <w:bCs/>
          <w:szCs w:val="24"/>
        </w:rPr>
        <w:t>listę, będących w posiadaniu</w:t>
      </w:r>
      <w:r w:rsidR="00BA6C78" w:rsidRPr="004E0F02">
        <w:rPr>
          <w:rFonts w:eastAsia="Times New Roman" w:cs="Times New Roman"/>
          <w:bCs/>
          <w:szCs w:val="24"/>
        </w:rPr>
        <w:t xml:space="preserve"> podmiotów zobowiązanych</w:t>
      </w:r>
      <w:r w:rsidR="00A42682" w:rsidRPr="004E0F02">
        <w:rPr>
          <w:rFonts w:eastAsia="Times New Roman" w:cs="Times New Roman"/>
          <w:bCs/>
          <w:szCs w:val="24"/>
        </w:rPr>
        <w:t xml:space="preserve"> danych o wysokiej wartości </w:t>
      </w:r>
      <w:r w:rsidR="00AC428D" w:rsidRPr="004E0F02">
        <w:rPr>
          <w:rFonts w:eastAsia="Times New Roman" w:cs="Times New Roman"/>
          <w:bCs/>
          <w:szCs w:val="24"/>
        </w:rPr>
        <w:t xml:space="preserve">mieszczących się we właściwej </w:t>
      </w:r>
      <w:r w:rsidR="00EC44D4" w:rsidRPr="004E0F02">
        <w:rPr>
          <w:rFonts w:eastAsia="Times New Roman" w:cs="Times New Roman"/>
          <w:bCs/>
          <w:szCs w:val="24"/>
        </w:rPr>
        <w:t>kategorii tematycznej</w:t>
      </w:r>
    </w:p>
    <w:p w14:paraId="2CE6C402" w14:textId="4DD85C47" w:rsidR="00A42682" w:rsidRPr="004E0F02" w:rsidRDefault="00A42682" w:rsidP="004D2DA7">
      <w:pPr>
        <w:keepNext/>
        <w:widowControl/>
        <w:numPr>
          <w:ilvl w:val="0"/>
          <w:numId w:val="33"/>
        </w:numPr>
        <w:autoSpaceDE/>
        <w:autoSpaceDN/>
        <w:adjustRightInd/>
        <w:spacing w:after="120" w:line="276" w:lineRule="auto"/>
        <w:jc w:val="both"/>
        <w:rPr>
          <w:rFonts w:eastAsia="Times New Roman" w:cs="Times New Roman"/>
          <w:bCs/>
          <w:szCs w:val="24"/>
        </w:rPr>
      </w:pPr>
      <w:r w:rsidRPr="004E0F02">
        <w:rPr>
          <w:rFonts w:eastAsia="Times New Roman" w:cs="Times New Roman"/>
          <w:bCs/>
          <w:szCs w:val="24"/>
        </w:rPr>
        <w:t xml:space="preserve">harmonogram udostępniania przez podmioty zobowiązane </w:t>
      </w:r>
      <w:r w:rsidR="0017195B" w:rsidRPr="004E0F02">
        <w:rPr>
          <w:rFonts w:eastAsia="Times New Roman" w:cs="Times New Roman"/>
          <w:bCs/>
          <w:szCs w:val="24"/>
        </w:rPr>
        <w:t xml:space="preserve">na </w:t>
      </w:r>
      <w:r w:rsidRPr="004E0F02">
        <w:rPr>
          <w:rFonts w:eastAsia="Times New Roman" w:cs="Times New Roman"/>
          <w:bCs/>
          <w:szCs w:val="24"/>
        </w:rPr>
        <w:t>portalu danych:</w:t>
      </w:r>
    </w:p>
    <w:p w14:paraId="2BFA40A4" w14:textId="400653D0" w:rsidR="00A42682" w:rsidRPr="004E0F02" w:rsidRDefault="00A42682" w:rsidP="004D2DA7">
      <w:pPr>
        <w:widowControl/>
        <w:numPr>
          <w:ilvl w:val="0"/>
          <w:numId w:val="35"/>
        </w:numPr>
        <w:autoSpaceDE/>
        <w:autoSpaceDN/>
        <w:adjustRightInd/>
        <w:spacing w:after="120" w:line="276" w:lineRule="auto"/>
        <w:jc w:val="both"/>
        <w:rPr>
          <w:rFonts w:eastAsia="Times New Roman" w:cs="Times New Roman"/>
          <w:bCs/>
          <w:szCs w:val="24"/>
        </w:rPr>
      </w:pPr>
      <w:r w:rsidRPr="004E0F02">
        <w:rPr>
          <w:rFonts w:eastAsia="Times New Roman" w:cs="Times New Roman"/>
          <w:bCs/>
          <w:szCs w:val="24"/>
        </w:rPr>
        <w:t>danych, o których mowa</w:t>
      </w:r>
      <w:r w:rsidR="00E45B1D" w:rsidRPr="004E0F02">
        <w:rPr>
          <w:rFonts w:eastAsia="Times New Roman" w:cs="Times New Roman"/>
          <w:bCs/>
          <w:szCs w:val="24"/>
        </w:rPr>
        <w:t xml:space="preserve"> w pkt 1 oraz</w:t>
      </w:r>
      <w:r w:rsidRPr="004E0F02">
        <w:rPr>
          <w:rFonts w:eastAsia="Times New Roman" w:cs="Times New Roman"/>
          <w:bCs/>
          <w:szCs w:val="24"/>
        </w:rPr>
        <w:t xml:space="preserve"> metadanych albo</w:t>
      </w:r>
    </w:p>
    <w:p w14:paraId="3A8EAB18" w14:textId="72391EA6" w:rsidR="00A42682" w:rsidRPr="004E0F02" w:rsidRDefault="00A42682" w:rsidP="004D2DA7">
      <w:pPr>
        <w:widowControl/>
        <w:numPr>
          <w:ilvl w:val="0"/>
          <w:numId w:val="35"/>
        </w:numPr>
        <w:autoSpaceDE/>
        <w:autoSpaceDN/>
        <w:adjustRightInd/>
        <w:spacing w:after="120" w:line="276" w:lineRule="auto"/>
        <w:jc w:val="both"/>
        <w:rPr>
          <w:rFonts w:eastAsia="Times New Roman" w:cs="Times New Roman"/>
          <w:bCs/>
          <w:szCs w:val="24"/>
        </w:rPr>
      </w:pPr>
      <w:r w:rsidRPr="004E0F02">
        <w:rPr>
          <w:rFonts w:eastAsia="Times New Roman" w:cs="Times New Roman"/>
          <w:bCs/>
          <w:szCs w:val="24"/>
        </w:rPr>
        <w:t>metadanych, w przypadku gdy dane, o których mowa</w:t>
      </w:r>
      <w:r w:rsidR="00E45B1D" w:rsidRPr="004E0F02">
        <w:rPr>
          <w:rFonts w:eastAsia="Times New Roman" w:cs="Times New Roman"/>
          <w:bCs/>
          <w:szCs w:val="24"/>
        </w:rPr>
        <w:t xml:space="preserve"> w pkt </w:t>
      </w:r>
      <w:r w:rsidRPr="004E0F02">
        <w:rPr>
          <w:rFonts w:eastAsia="Times New Roman" w:cs="Times New Roman"/>
          <w:bCs/>
          <w:szCs w:val="24"/>
        </w:rPr>
        <w:t>1, przechowywane są</w:t>
      </w:r>
      <w:r w:rsidR="0017195B" w:rsidRPr="004E0F02">
        <w:rPr>
          <w:rFonts w:eastAsia="Times New Roman" w:cs="Times New Roman"/>
          <w:bCs/>
          <w:szCs w:val="24"/>
        </w:rPr>
        <w:t> </w:t>
      </w:r>
      <w:r w:rsidRPr="004E0F02">
        <w:rPr>
          <w:rFonts w:eastAsia="Times New Roman" w:cs="Times New Roman"/>
          <w:bCs/>
          <w:szCs w:val="24"/>
        </w:rPr>
        <w:t>w publicznie dostępnym systemie teleinformatycznym podmiotu zobowiązanego i udostępniane w celu ich ponownego wykorzystywania w sposób, o którym mowa</w:t>
      </w:r>
      <w:r w:rsidR="00E45B1D" w:rsidRPr="004E0F02">
        <w:rPr>
          <w:rFonts w:eastAsia="Times New Roman" w:cs="Times New Roman"/>
          <w:bCs/>
          <w:szCs w:val="24"/>
        </w:rPr>
        <w:t xml:space="preserve"> w art. </w:t>
      </w:r>
      <w:r w:rsidRPr="004E0F02">
        <w:rPr>
          <w:rFonts w:eastAsia="Times New Roman" w:cs="Times New Roman"/>
          <w:bCs/>
          <w:szCs w:val="24"/>
        </w:rPr>
        <w:t>2</w:t>
      </w:r>
      <w:r w:rsidR="00E45B1D" w:rsidRPr="004E0F02">
        <w:rPr>
          <w:rFonts w:eastAsia="Times New Roman" w:cs="Times New Roman"/>
          <w:bCs/>
          <w:szCs w:val="24"/>
        </w:rPr>
        <w:t>5 ust. </w:t>
      </w:r>
      <w:r w:rsidRPr="004E0F02">
        <w:rPr>
          <w:rFonts w:eastAsia="Times New Roman" w:cs="Times New Roman"/>
          <w:bCs/>
          <w:szCs w:val="24"/>
        </w:rPr>
        <w:t>1;</w:t>
      </w:r>
    </w:p>
    <w:p w14:paraId="0E46978E" w14:textId="2C7F3FFA" w:rsidR="00A42682" w:rsidRPr="004E0F02" w:rsidRDefault="00A42682" w:rsidP="004D2DA7">
      <w:pPr>
        <w:widowControl/>
        <w:numPr>
          <w:ilvl w:val="0"/>
          <w:numId w:val="33"/>
        </w:numPr>
        <w:autoSpaceDE/>
        <w:autoSpaceDN/>
        <w:adjustRightInd/>
        <w:spacing w:after="120" w:line="276" w:lineRule="auto"/>
        <w:jc w:val="both"/>
        <w:rPr>
          <w:rFonts w:eastAsia="Times New Roman" w:cs="Times New Roman"/>
          <w:bCs/>
          <w:szCs w:val="24"/>
        </w:rPr>
      </w:pPr>
      <w:r w:rsidRPr="004E0F02">
        <w:rPr>
          <w:rFonts w:eastAsia="Times New Roman" w:cs="Times New Roman"/>
          <w:bCs/>
          <w:szCs w:val="24"/>
        </w:rPr>
        <w:t>sposób udostępniania, o którym mowa</w:t>
      </w:r>
      <w:r w:rsidR="00E45B1D" w:rsidRPr="004E0F02">
        <w:rPr>
          <w:rFonts w:eastAsia="Times New Roman" w:cs="Times New Roman"/>
          <w:bCs/>
          <w:szCs w:val="24"/>
        </w:rPr>
        <w:t xml:space="preserve"> w pkt </w:t>
      </w:r>
      <w:r w:rsidRPr="004E0F02">
        <w:rPr>
          <w:rFonts w:eastAsia="Times New Roman" w:cs="Times New Roman"/>
          <w:bCs/>
          <w:szCs w:val="24"/>
        </w:rPr>
        <w:t>2, mając na względzie posiadaną przez podmiot</w:t>
      </w:r>
      <w:r w:rsidR="00DA1CDB" w:rsidRPr="004E0F02">
        <w:rPr>
          <w:rFonts w:eastAsia="Times New Roman" w:cs="Times New Roman"/>
          <w:bCs/>
          <w:szCs w:val="24"/>
        </w:rPr>
        <w:t>y</w:t>
      </w:r>
      <w:r w:rsidRPr="004E0F02">
        <w:rPr>
          <w:rFonts w:eastAsia="Times New Roman" w:cs="Times New Roman"/>
          <w:bCs/>
          <w:szCs w:val="24"/>
        </w:rPr>
        <w:t xml:space="preserve"> zobowiązan</w:t>
      </w:r>
      <w:r w:rsidR="00DA1CDB" w:rsidRPr="004E0F02">
        <w:rPr>
          <w:rFonts w:eastAsia="Times New Roman" w:cs="Times New Roman"/>
          <w:bCs/>
          <w:szCs w:val="24"/>
        </w:rPr>
        <w:t>e</w:t>
      </w:r>
      <w:r w:rsidRPr="004E0F02">
        <w:rPr>
          <w:rFonts w:eastAsia="Times New Roman" w:cs="Times New Roman"/>
          <w:bCs/>
          <w:szCs w:val="24"/>
        </w:rPr>
        <w:t xml:space="preserve"> infrastrukturę teleinformatyczną umożliwiającą gromadzenie w niej danych o wysokiej wartości oraz ich udostępnianie do ponownego wykorzystywania, a także możliwości techniczne przechowywania tych danych w portalu danych;</w:t>
      </w:r>
    </w:p>
    <w:p w14:paraId="4530E246" w14:textId="5AE1772A" w:rsidR="00A42682" w:rsidRPr="004E0F02" w:rsidRDefault="00A42682" w:rsidP="004D2DA7">
      <w:pPr>
        <w:widowControl/>
        <w:numPr>
          <w:ilvl w:val="0"/>
          <w:numId w:val="33"/>
        </w:numPr>
        <w:autoSpaceDE/>
        <w:autoSpaceDN/>
        <w:adjustRightInd/>
        <w:spacing w:after="120" w:line="276" w:lineRule="auto"/>
        <w:jc w:val="both"/>
        <w:rPr>
          <w:rFonts w:eastAsia="Times New Roman" w:cs="Times New Roman"/>
          <w:bCs/>
          <w:szCs w:val="24"/>
        </w:rPr>
      </w:pPr>
      <w:r w:rsidRPr="004E0F02">
        <w:rPr>
          <w:rFonts w:eastAsia="Times New Roman" w:cs="Times New Roman"/>
          <w:bCs/>
          <w:szCs w:val="24"/>
        </w:rPr>
        <w:t>format danych,</w:t>
      </w:r>
      <w:r w:rsidR="00E45B1D" w:rsidRPr="004E0F02">
        <w:rPr>
          <w:rFonts w:eastAsia="Times New Roman" w:cs="Times New Roman"/>
          <w:bCs/>
          <w:szCs w:val="24"/>
        </w:rPr>
        <w:t xml:space="preserve"> o </w:t>
      </w:r>
      <w:r w:rsidRPr="004E0F02">
        <w:rPr>
          <w:rFonts w:eastAsia="Times New Roman" w:cs="Times New Roman"/>
          <w:bCs/>
          <w:szCs w:val="24"/>
        </w:rPr>
        <w:t>których mowa</w:t>
      </w:r>
      <w:r w:rsidR="00E45B1D" w:rsidRPr="004E0F02">
        <w:rPr>
          <w:rFonts w:eastAsia="Times New Roman" w:cs="Times New Roman"/>
          <w:bCs/>
          <w:szCs w:val="24"/>
        </w:rPr>
        <w:t xml:space="preserve"> w pkt </w:t>
      </w:r>
      <w:r w:rsidRPr="004E0F02">
        <w:rPr>
          <w:rFonts w:eastAsia="Times New Roman" w:cs="Times New Roman"/>
          <w:bCs/>
          <w:szCs w:val="24"/>
        </w:rPr>
        <w:t>2;</w:t>
      </w:r>
    </w:p>
    <w:p w14:paraId="2D4ED3D9" w14:textId="77777777" w:rsidR="00C74BD9" w:rsidRPr="004E0F02" w:rsidRDefault="00A42682" w:rsidP="00C74BD9">
      <w:pPr>
        <w:widowControl/>
        <w:numPr>
          <w:ilvl w:val="0"/>
          <w:numId w:val="33"/>
        </w:numPr>
        <w:autoSpaceDE/>
        <w:autoSpaceDN/>
        <w:adjustRightInd/>
        <w:spacing w:after="120" w:line="276" w:lineRule="auto"/>
        <w:jc w:val="both"/>
        <w:rPr>
          <w:rFonts w:eastAsia="Times New Roman" w:cs="Times New Roman"/>
          <w:bCs/>
          <w:szCs w:val="24"/>
        </w:rPr>
      </w:pPr>
      <w:r w:rsidRPr="004E0F02">
        <w:rPr>
          <w:rFonts w:eastAsia="Times New Roman" w:cs="Times New Roman"/>
          <w:bCs/>
          <w:szCs w:val="24"/>
        </w:rPr>
        <w:t>możliwe warunki ponownego wykorzystywania, o których mowa w rozdziale 3 proj</w:t>
      </w:r>
      <w:r w:rsidR="0017195B" w:rsidRPr="004E0F02">
        <w:rPr>
          <w:rFonts w:eastAsia="Times New Roman" w:cs="Times New Roman"/>
          <w:bCs/>
          <w:szCs w:val="24"/>
        </w:rPr>
        <w:t>e</w:t>
      </w:r>
      <w:r w:rsidRPr="004E0F02">
        <w:rPr>
          <w:rFonts w:eastAsia="Times New Roman" w:cs="Times New Roman"/>
          <w:bCs/>
          <w:szCs w:val="24"/>
        </w:rPr>
        <w:t>ktu ustawy;</w:t>
      </w:r>
    </w:p>
    <w:p w14:paraId="73FBDB9D" w14:textId="4421FD21" w:rsidR="00A42682" w:rsidRPr="004E0F02" w:rsidRDefault="00A42682" w:rsidP="00C74BD9">
      <w:pPr>
        <w:widowControl/>
        <w:numPr>
          <w:ilvl w:val="0"/>
          <w:numId w:val="33"/>
        </w:numPr>
        <w:autoSpaceDE/>
        <w:autoSpaceDN/>
        <w:adjustRightInd/>
        <w:spacing w:after="120" w:line="276" w:lineRule="auto"/>
        <w:jc w:val="both"/>
        <w:rPr>
          <w:rFonts w:eastAsia="Times New Roman" w:cs="Times New Roman"/>
          <w:bCs/>
          <w:szCs w:val="24"/>
        </w:rPr>
      </w:pPr>
      <w:r w:rsidRPr="004E0F02">
        <w:rPr>
          <w:rFonts w:eastAsia="Times New Roman" w:cs="Times New Roman"/>
          <w:bCs/>
          <w:szCs w:val="24"/>
        </w:rPr>
        <w:t>częstotliwość aktualizacji danych oraz metadanych, o których mowa</w:t>
      </w:r>
      <w:r w:rsidR="00E45B1D" w:rsidRPr="004E0F02">
        <w:rPr>
          <w:rFonts w:eastAsia="Times New Roman" w:cs="Times New Roman"/>
          <w:bCs/>
          <w:szCs w:val="24"/>
        </w:rPr>
        <w:t xml:space="preserve"> w pkt </w:t>
      </w:r>
      <w:r w:rsidRPr="004E0F02">
        <w:rPr>
          <w:rFonts w:eastAsia="Times New Roman" w:cs="Times New Roman"/>
          <w:bCs/>
          <w:szCs w:val="24"/>
        </w:rPr>
        <w:t>2, mając na</w:t>
      </w:r>
      <w:r w:rsidR="0017195B" w:rsidRPr="004E0F02">
        <w:rPr>
          <w:rFonts w:eastAsia="Times New Roman" w:cs="Times New Roman"/>
          <w:bCs/>
          <w:szCs w:val="24"/>
        </w:rPr>
        <w:t> </w:t>
      </w:r>
      <w:r w:rsidRPr="004E0F02">
        <w:rPr>
          <w:rFonts w:eastAsia="Times New Roman" w:cs="Times New Roman"/>
          <w:bCs/>
          <w:szCs w:val="24"/>
        </w:rPr>
        <w:t>względzie konieczność zagwarantowania ich aktualności.</w:t>
      </w:r>
    </w:p>
    <w:p w14:paraId="59DC0706" w14:textId="72E095B2" w:rsidR="00AC428D" w:rsidRPr="004E0F02" w:rsidRDefault="00EC44D4" w:rsidP="00EC44D4">
      <w:pPr>
        <w:keepNext/>
        <w:widowControl/>
        <w:autoSpaceDE/>
        <w:autoSpaceDN/>
        <w:adjustRightInd/>
        <w:spacing w:after="120" w:line="276" w:lineRule="auto"/>
        <w:jc w:val="both"/>
        <w:rPr>
          <w:rFonts w:eastAsia="Times New Roman" w:cs="Times New Roman"/>
          <w:bCs/>
          <w:szCs w:val="24"/>
        </w:rPr>
      </w:pPr>
      <w:r w:rsidRPr="004E0F02">
        <w:rPr>
          <w:rFonts w:eastAsia="Times New Roman" w:cs="Times New Roman"/>
          <w:bCs/>
          <w:szCs w:val="24"/>
        </w:rPr>
        <w:lastRenderedPageBreak/>
        <w:t xml:space="preserve">W przypadku kategorii tematycznej – dane statystyczne rozporządzenie wydane zostanie przez ministra właściwego do spraw informatyzacji po zasięgnięciu opinii Prezes Głównego Urzędu Statystycznego. </w:t>
      </w:r>
    </w:p>
    <w:p w14:paraId="45BCA2FB" w14:textId="66F8B7E6" w:rsidR="00A42682" w:rsidRPr="004E0F02" w:rsidRDefault="00A42682" w:rsidP="00C74BD9">
      <w:pPr>
        <w:keepNext/>
        <w:widowControl/>
        <w:autoSpaceDE/>
        <w:autoSpaceDN/>
        <w:adjustRightInd/>
        <w:spacing w:after="120" w:line="276" w:lineRule="auto"/>
        <w:ind w:left="510" w:hanging="510"/>
        <w:jc w:val="both"/>
        <w:rPr>
          <w:rFonts w:eastAsia="Times New Roman" w:cs="Times New Roman"/>
          <w:b/>
          <w:bCs/>
          <w:szCs w:val="24"/>
        </w:rPr>
      </w:pPr>
      <w:r w:rsidRPr="004E0F02">
        <w:rPr>
          <w:rFonts w:eastAsia="Times New Roman" w:cs="Times New Roman"/>
          <w:b/>
          <w:bCs/>
          <w:szCs w:val="24"/>
        </w:rPr>
        <w:t xml:space="preserve">Rozdział 6. </w:t>
      </w:r>
      <w:r w:rsidR="00AC428D" w:rsidRPr="004E0F02">
        <w:rPr>
          <w:rFonts w:eastAsia="Times New Roman" w:cs="Times New Roman"/>
          <w:b/>
          <w:bCs/>
          <w:szCs w:val="24"/>
        </w:rPr>
        <w:t>Program otwierania danych</w:t>
      </w:r>
      <w:r w:rsidRPr="004E0F02">
        <w:rPr>
          <w:rFonts w:eastAsia="Times New Roman" w:cs="Times New Roman"/>
          <w:b/>
          <w:bCs/>
          <w:szCs w:val="24"/>
        </w:rPr>
        <w:t>.</w:t>
      </w:r>
    </w:p>
    <w:p w14:paraId="70C55B6F" w14:textId="146F6D2E" w:rsidR="00A42682" w:rsidRPr="004E0F02" w:rsidRDefault="00A42682" w:rsidP="00A42682">
      <w:pPr>
        <w:widowControl/>
        <w:autoSpaceDE/>
        <w:autoSpaceDN/>
        <w:adjustRightInd/>
        <w:spacing w:after="60" w:line="276" w:lineRule="auto"/>
        <w:jc w:val="both"/>
        <w:rPr>
          <w:rFonts w:eastAsia="Calibri" w:cs="Times New Roman"/>
          <w:szCs w:val="24"/>
          <w:lang w:eastAsia="en-US"/>
        </w:rPr>
      </w:pPr>
      <w:r w:rsidRPr="004E0F02">
        <w:rPr>
          <w:rFonts w:eastAsia="Calibri" w:cs="Times New Roman"/>
          <w:szCs w:val="24"/>
          <w:lang w:eastAsia="en-US"/>
        </w:rPr>
        <w:t>Rozdział ten zakłada również przeniesienie do niniejszej ustawy</w:t>
      </w:r>
      <w:r w:rsidR="00E45B1D" w:rsidRPr="004E0F02">
        <w:rPr>
          <w:rFonts w:eastAsia="Calibri" w:cs="Times New Roman"/>
          <w:szCs w:val="24"/>
          <w:lang w:eastAsia="en-US"/>
        </w:rPr>
        <w:t xml:space="preserve"> w </w:t>
      </w:r>
      <w:r w:rsidRPr="004E0F02">
        <w:rPr>
          <w:rFonts w:eastAsia="Calibri" w:cs="Times New Roman"/>
          <w:szCs w:val="24"/>
          <w:lang w:eastAsia="en-US"/>
        </w:rPr>
        <w:t>całości regulacji dotyczących Programu Otwierania Danych, które znajdują się obecnie</w:t>
      </w:r>
      <w:r w:rsidR="00E45B1D" w:rsidRPr="004E0F02">
        <w:rPr>
          <w:rFonts w:eastAsia="Calibri" w:cs="Times New Roman"/>
          <w:szCs w:val="24"/>
          <w:lang w:eastAsia="en-US"/>
        </w:rPr>
        <w:t xml:space="preserve"> w </w:t>
      </w:r>
      <w:r w:rsidRPr="004E0F02">
        <w:rPr>
          <w:rFonts w:eastAsia="Calibri" w:cs="Times New Roman"/>
          <w:szCs w:val="24"/>
          <w:lang w:eastAsia="en-US"/>
        </w:rPr>
        <w:t>ustawie</w:t>
      </w:r>
      <w:r w:rsidR="00E45B1D" w:rsidRPr="004E0F02">
        <w:rPr>
          <w:rFonts w:eastAsia="Calibri" w:cs="Times New Roman"/>
          <w:szCs w:val="24"/>
          <w:lang w:eastAsia="en-US"/>
        </w:rPr>
        <w:t xml:space="preserve"> o </w:t>
      </w:r>
      <w:r w:rsidRPr="004E0F02">
        <w:rPr>
          <w:rFonts w:eastAsia="Calibri" w:cs="Times New Roman"/>
          <w:szCs w:val="24"/>
          <w:lang w:eastAsia="en-US"/>
        </w:rPr>
        <w:t>dostępie do</w:t>
      </w:r>
      <w:r w:rsidR="003C6A7F" w:rsidRPr="004E0F02">
        <w:rPr>
          <w:rFonts w:eastAsia="Calibri" w:cs="Times New Roman"/>
          <w:szCs w:val="24"/>
          <w:lang w:eastAsia="en-US"/>
        </w:rPr>
        <w:t> </w:t>
      </w:r>
      <w:r w:rsidRPr="004E0F02">
        <w:rPr>
          <w:rFonts w:eastAsia="Calibri" w:cs="Times New Roman"/>
          <w:szCs w:val="24"/>
          <w:lang w:eastAsia="en-US"/>
        </w:rPr>
        <w:t>informacji publicznej.</w:t>
      </w:r>
    </w:p>
    <w:p w14:paraId="2994CEB3" w14:textId="55B0F606" w:rsidR="000A22AD" w:rsidRPr="004E0F02" w:rsidRDefault="00A42682" w:rsidP="00A42682">
      <w:pPr>
        <w:widowControl/>
        <w:autoSpaceDE/>
        <w:autoSpaceDN/>
        <w:adjustRightInd/>
        <w:spacing w:after="160" w:line="276" w:lineRule="auto"/>
        <w:jc w:val="both"/>
        <w:rPr>
          <w:rFonts w:eastAsia="Calibri" w:cs="Times New Roman"/>
          <w:szCs w:val="24"/>
          <w:lang w:eastAsia="en-US"/>
        </w:rPr>
      </w:pPr>
      <w:r w:rsidRPr="004E0F02">
        <w:rPr>
          <w:rFonts w:eastAsia="Calibri" w:cs="Times New Roman"/>
          <w:szCs w:val="24"/>
          <w:lang w:eastAsia="en-US"/>
        </w:rPr>
        <w:t>Program ma na celu zwiększenia ilości oraz poprawę jakości informacji sektora publicznego, danych prywatnych oraz metadanych opisujących ich strukturę udostępnianych na portalu otwartych danych, które będą miały wpływ na jak najszersze ponowne wykorzystywanie. Ustawodawca przeniósł</w:t>
      </w:r>
      <w:r w:rsidR="00E45B1D" w:rsidRPr="004E0F02">
        <w:rPr>
          <w:rFonts w:eastAsia="Calibri" w:cs="Times New Roman"/>
          <w:szCs w:val="24"/>
          <w:lang w:eastAsia="en-US"/>
        </w:rPr>
        <w:t xml:space="preserve"> z </w:t>
      </w:r>
      <w:r w:rsidRPr="004E0F02">
        <w:rPr>
          <w:rFonts w:eastAsia="Calibri" w:cs="Times New Roman"/>
          <w:szCs w:val="24"/>
          <w:lang w:eastAsia="en-US"/>
        </w:rPr>
        <w:t>ustawy</w:t>
      </w:r>
      <w:r w:rsidR="00E45B1D" w:rsidRPr="004E0F02">
        <w:rPr>
          <w:rFonts w:eastAsia="Calibri" w:cs="Times New Roman"/>
          <w:szCs w:val="24"/>
          <w:lang w:eastAsia="en-US"/>
        </w:rPr>
        <w:t xml:space="preserve"> o </w:t>
      </w:r>
      <w:r w:rsidRPr="004E0F02">
        <w:rPr>
          <w:rFonts w:eastAsia="Calibri" w:cs="Times New Roman"/>
          <w:szCs w:val="24"/>
          <w:lang w:eastAsia="en-US"/>
        </w:rPr>
        <w:t>dostępie do informacji publiczn</w:t>
      </w:r>
      <w:r w:rsidR="00946810" w:rsidRPr="004E0F02">
        <w:rPr>
          <w:rFonts w:eastAsia="Calibri" w:cs="Times New Roman"/>
          <w:szCs w:val="24"/>
          <w:lang w:eastAsia="en-US"/>
        </w:rPr>
        <w:t>ej</w:t>
      </w:r>
      <w:r w:rsidRPr="004E0F02">
        <w:rPr>
          <w:rFonts w:eastAsia="Calibri" w:cs="Times New Roman"/>
          <w:szCs w:val="24"/>
          <w:lang w:eastAsia="en-US"/>
        </w:rPr>
        <w:t xml:space="preserve"> do projektowanego</w:t>
      </w:r>
      <w:r w:rsidR="00E45B1D" w:rsidRPr="004E0F02">
        <w:rPr>
          <w:rFonts w:eastAsia="Calibri" w:cs="Times New Roman"/>
          <w:szCs w:val="24"/>
          <w:lang w:eastAsia="en-US"/>
        </w:rPr>
        <w:t xml:space="preserve"> art. </w:t>
      </w:r>
      <w:r w:rsidRPr="004E0F02">
        <w:rPr>
          <w:rFonts w:eastAsia="Calibri" w:cs="Times New Roman"/>
          <w:szCs w:val="24"/>
          <w:lang w:eastAsia="en-US"/>
        </w:rPr>
        <w:t>2</w:t>
      </w:r>
      <w:r w:rsidR="00E45B1D" w:rsidRPr="004E0F02">
        <w:rPr>
          <w:rFonts w:eastAsia="Calibri" w:cs="Times New Roman"/>
          <w:szCs w:val="24"/>
          <w:lang w:eastAsia="en-US"/>
        </w:rPr>
        <w:t>8 </w:t>
      </w:r>
      <w:r w:rsidRPr="004E0F02">
        <w:rPr>
          <w:rFonts w:eastAsia="Calibri" w:cs="Times New Roman"/>
          <w:szCs w:val="24"/>
          <w:lang w:eastAsia="en-US"/>
        </w:rPr>
        <w:t>przepis upoważniający ministra właściwego do spraw informatyzacji do opracowania Programu Otwierania Danych oraz wyliczenie elementów treści, jakie mają znaleźć się w</w:t>
      </w:r>
      <w:r w:rsidR="003C6A7F" w:rsidRPr="004E0F02">
        <w:rPr>
          <w:rFonts w:eastAsia="Calibri" w:cs="Times New Roman"/>
          <w:szCs w:val="24"/>
          <w:lang w:eastAsia="en-US"/>
        </w:rPr>
        <w:t> </w:t>
      </w:r>
      <w:r w:rsidRPr="004E0F02">
        <w:rPr>
          <w:rFonts w:eastAsia="Calibri" w:cs="Times New Roman"/>
          <w:szCs w:val="24"/>
          <w:lang w:eastAsia="en-US"/>
        </w:rPr>
        <w:t>dokumencie, m.in. kierunki rozwoju</w:t>
      </w:r>
      <w:r w:rsidR="00E45B1D" w:rsidRPr="004E0F02">
        <w:rPr>
          <w:rFonts w:eastAsia="Calibri" w:cs="Times New Roman"/>
          <w:szCs w:val="24"/>
          <w:lang w:eastAsia="en-US"/>
        </w:rPr>
        <w:t xml:space="preserve"> i </w:t>
      </w:r>
      <w:r w:rsidRPr="004E0F02">
        <w:rPr>
          <w:rFonts w:eastAsia="Calibri" w:cs="Times New Roman"/>
          <w:szCs w:val="24"/>
          <w:lang w:eastAsia="en-US"/>
        </w:rPr>
        <w:t>priorytety</w:t>
      </w:r>
      <w:r w:rsidR="00E45B1D" w:rsidRPr="004E0F02">
        <w:rPr>
          <w:rFonts w:eastAsia="Calibri" w:cs="Times New Roman"/>
          <w:szCs w:val="24"/>
          <w:lang w:eastAsia="en-US"/>
        </w:rPr>
        <w:t xml:space="preserve"> w </w:t>
      </w:r>
      <w:r w:rsidRPr="004E0F02">
        <w:rPr>
          <w:rFonts w:eastAsia="Calibri" w:cs="Times New Roman"/>
          <w:szCs w:val="24"/>
          <w:lang w:eastAsia="en-US"/>
        </w:rPr>
        <w:t>zakresie otwartości danych; potrzeba wsparcia nowoczesnych technologii wykorzystując</w:t>
      </w:r>
      <w:r w:rsidR="00946810" w:rsidRPr="004E0F02">
        <w:rPr>
          <w:rFonts w:eastAsia="Calibri" w:cs="Times New Roman"/>
          <w:szCs w:val="24"/>
          <w:lang w:eastAsia="en-US"/>
        </w:rPr>
        <w:t>ych</w:t>
      </w:r>
      <w:r w:rsidRPr="004E0F02">
        <w:rPr>
          <w:rFonts w:eastAsia="Calibri" w:cs="Times New Roman"/>
          <w:szCs w:val="24"/>
          <w:lang w:eastAsia="en-US"/>
        </w:rPr>
        <w:t xml:space="preserve"> otwarte dane oraz przegląd prowadzonej polityki otwartych danych. Przepisy rozdziału wskazują okres, na jaki jest przyjmowany Program oraz formę jego opracowania (art. </w:t>
      </w:r>
      <w:r w:rsidR="002633ED" w:rsidRPr="004E0F02">
        <w:rPr>
          <w:rFonts w:eastAsia="Calibri" w:cs="Times New Roman"/>
          <w:szCs w:val="24"/>
          <w:lang w:eastAsia="en-US"/>
        </w:rPr>
        <w:t>31</w:t>
      </w:r>
      <w:r w:rsidR="00E45B1D" w:rsidRPr="004E0F02">
        <w:rPr>
          <w:rFonts w:eastAsia="Calibri" w:cs="Times New Roman"/>
          <w:szCs w:val="24"/>
          <w:lang w:eastAsia="en-US"/>
        </w:rPr>
        <w:t> </w:t>
      </w:r>
      <w:r w:rsidRPr="004E0F02">
        <w:rPr>
          <w:rFonts w:eastAsia="Calibri" w:cs="Times New Roman"/>
          <w:szCs w:val="24"/>
          <w:lang w:eastAsia="en-US"/>
        </w:rPr>
        <w:t xml:space="preserve">ust </w:t>
      </w:r>
      <w:r w:rsidR="00E45B1D" w:rsidRPr="004E0F02">
        <w:rPr>
          <w:rFonts w:eastAsia="Calibri" w:cs="Times New Roman"/>
          <w:szCs w:val="24"/>
          <w:lang w:eastAsia="en-US"/>
        </w:rPr>
        <w:t>2</w:t>
      </w:r>
      <w:r w:rsidR="00E45B1D" w:rsidRPr="004E0F02">
        <w:rPr>
          <w:rFonts w:eastAsia="Calibri" w:cs="Times New Roman"/>
          <w:szCs w:val="24"/>
          <w:lang w:eastAsia="en-US"/>
        </w:rPr>
        <w:noBreakHyphen/>
      </w:r>
      <w:r w:rsidRPr="004E0F02">
        <w:rPr>
          <w:rFonts w:eastAsia="Calibri" w:cs="Times New Roman"/>
          <w:szCs w:val="24"/>
          <w:lang w:eastAsia="en-US"/>
        </w:rPr>
        <w:t xml:space="preserve">3). </w:t>
      </w:r>
      <w:r w:rsidR="000A22AD" w:rsidRPr="004E0F02">
        <w:rPr>
          <w:rFonts w:eastAsia="Calibri" w:cs="Times New Roman"/>
          <w:szCs w:val="24"/>
          <w:lang w:eastAsia="en-US"/>
        </w:rPr>
        <w:t xml:space="preserve">Zgodnie z art. 31 ust 4. </w:t>
      </w:r>
      <w:r w:rsidR="000A22AD" w:rsidRPr="004E0F02">
        <w:rPr>
          <w:rFonts w:cs="Times New Roman"/>
        </w:rPr>
        <w:t>zapewnienie prawidłowej i skutecznej realizacji Programu powierza się członkom Rady Ministrów oraz Preze</w:t>
      </w:r>
      <w:r w:rsidR="00BA35B6" w:rsidRPr="004E0F02">
        <w:rPr>
          <w:rFonts w:cs="Times New Roman"/>
        </w:rPr>
        <w:t>sowi</w:t>
      </w:r>
      <w:r w:rsidR="000A22AD" w:rsidRPr="004E0F02">
        <w:rPr>
          <w:rFonts w:cs="Times New Roman"/>
        </w:rPr>
        <w:t xml:space="preserve"> Głównego Urzędu Statystycznego</w:t>
      </w:r>
      <w:r w:rsidR="00DD0C47" w:rsidRPr="004E0F02">
        <w:rPr>
          <w:rFonts w:cs="Times New Roman"/>
        </w:rPr>
        <w:t xml:space="preserve"> (</w:t>
      </w:r>
      <w:r w:rsidR="008248D0" w:rsidRPr="004E0F02">
        <w:rPr>
          <w:rFonts w:cs="Times New Roman"/>
        </w:rPr>
        <w:t xml:space="preserve">którzy będą </w:t>
      </w:r>
      <w:r w:rsidR="00DD0C47" w:rsidRPr="004E0F02">
        <w:rPr>
          <w:rFonts w:cs="Times New Roman"/>
        </w:rPr>
        <w:t>wspierani przez pełnomocników do spraw otwartości danych, działających w ramach poziomu operacyjnego)</w:t>
      </w:r>
      <w:r w:rsidR="000A22AD" w:rsidRPr="004E0F02">
        <w:rPr>
          <w:rFonts w:cs="Times New Roman"/>
        </w:rPr>
        <w:t>.</w:t>
      </w:r>
      <w:r w:rsidR="000A22AD" w:rsidRPr="004E0F02">
        <w:rPr>
          <w:rFonts w:eastAsia="Calibri" w:cs="Times New Roman"/>
          <w:szCs w:val="24"/>
          <w:lang w:eastAsia="en-US"/>
        </w:rPr>
        <w:t xml:space="preserve"> Projektodawca </w:t>
      </w:r>
      <w:r w:rsidR="00B1176D" w:rsidRPr="004E0F02">
        <w:rPr>
          <w:rFonts w:eastAsia="Calibri" w:cs="Times New Roman"/>
          <w:szCs w:val="24"/>
          <w:lang w:eastAsia="en-US"/>
        </w:rPr>
        <w:t xml:space="preserve">na podstawie art. 31 ust 5 </w:t>
      </w:r>
      <w:r w:rsidR="000A22AD" w:rsidRPr="004E0F02">
        <w:rPr>
          <w:rFonts w:eastAsia="Calibri" w:cs="Times New Roman"/>
          <w:szCs w:val="24"/>
          <w:lang w:eastAsia="en-US"/>
        </w:rPr>
        <w:t xml:space="preserve">umożliwia </w:t>
      </w:r>
      <w:r w:rsidR="000A22AD" w:rsidRPr="004E0F02">
        <w:rPr>
          <w:rFonts w:cs="Times New Roman"/>
        </w:rPr>
        <w:t>włączeni</w:t>
      </w:r>
      <w:r w:rsidR="00B1176D" w:rsidRPr="004E0F02">
        <w:rPr>
          <w:rFonts w:cs="Times New Roman"/>
        </w:rPr>
        <w:t>e</w:t>
      </w:r>
      <w:r w:rsidR="000A22AD" w:rsidRPr="004E0F02">
        <w:rPr>
          <w:rFonts w:cs="Times New Roman"/>
        </w:rPr>
        <w:t xml:space="preserve"> się w realizację</w:t>
      </w:r>
      <w:r w:rsidR="00B1176D" w:rsidRPr="004E0F02">
        <w:rPr>
          <w:rFonts w:cs="Times New Roman"/>
        </w:rPr>
        <w:t xml:space="preserve"> Programu</w:t>
      </w:r>
      <w:r w:rsidR="000A22AD" w:rsidRPr="004E0F02">
        <w:rPr>
          <w:rFonts w:cs="Times New Roman"/>
        </w:rPr>
        <w:t xml:space="preserve"> również inn</w:t>
      </w:r>
      <w:r w:rsidR="00B1176D" w:rsidRPr="004E0F02">
        <w:rPr>
          <w:rFonts w:cs="Times New Roman"/>
        </w:rPr>
        <w:t>ym</w:t>
      </w:r>
      <w:r w:rsidR="000A22AD" w:rsidRPr="004E0F02">
        <w:rPr>
          <w:rFonts w:cs="Times New Roman"/>
        </w:rPr>
        <w:t xml:space="preserve"> podmiot</w:t>
      </w:r>
      <w:r w:rsidR="00B1176D" w:rsidRPr="004E0F02">
        <w:rPr>
          <w:rFonts w:cs="Times New Roman"/>
        </w:rPr>
        <w:t>om</w:t>
      </w:r>
      <w:r w:rsidR="000A22AD" w:rsidRPr="004E0F02">
        <w:rPr>
          <w:rFonts w:cs="Times New Roman"/>
        </w:rPr>
        <w:t>, które tworzą lub przechowują dane o dużym potencjale ponownego wykorzystywania, w</w:t>
      </w:r>
      <w:r w:rsidR="00B1176D" w:rsidRPr="004E0F02">
        <w:rPr>
          <w:rFonts w:cs="Times New Roman"/>
        </w:rPr>
        <w:t> </w:t>
      </w:r>
      <w:r w:rsidR="000A22AD" w:rsidRPr="004E0F02">
        <w:rPr>
          <w:rFonts w:cs="Times New Roman"/>
        </w:rPr>
        <w:t>szczególności jednostki samorządu terytorialnego oraz podmioty prywatne</w:t>
      </w:r>
      <w:r w:rsidR="00B1176D" w:rsidRPr="004E0F02">
        <w:rPr>
          <w:rFonts w:cs="Times New Roman"/>
        </w:rPr>
        <w:t>.</w:t>
      </w:r>
      <w:r w:rsidR="00B1176D" w:rsidRPr="004E0F02">
        <w:rPr>
          <w:rFonts w:ascii="Arial" w:hAnsi="Arial"/>
        </w:rPr>
        <w:t xml:space="preserve"> </w:t>
      </w:r>
    </w:p>
    <w:p w14:paraId="212EADB9" w14:textId="5308BDE8" w:rsidR="000A22AD" w:rsidRPr="004E0F02" w:rsidRDefault="00B1176D" w:rsidP="00A42682">
      <w:pPr>
        <w:widowControl/>
        <w:autoSpaceDE/>
        <w:autoSpaceDN/>
        <w:adjustRightInd/>
        <w:spacing w:after="160" w:line="276" w:lineRule="auto"/>
        <w:jc w:val="both"/>
        <w:rPr>
          <w:rFonts w:eastAsia="Calibri" w:cs="Times New Roman"/>
          <w:szCs w:val="24"/>
          <w:shd w:val="clear" w:color="auto" w:fill="FFFFFF"/>
          <w:lang w:eastAsia="en-US"/>
        </w:rPr>
      </w:pPr>
      <w:r w:rsidRPr="004E0F02">
        <w:rPr>
          <w:rFonts w:eastAsia="Calibri" w:cs="Times New Roman"/>
          <w:szCs w:val="24"/>
          <w:lang w:eastAsia="en-US"/>
        </w:rPr>
        <w:t xml:space="preserve">Wychodząc naprzeciw potrzebie wzmocnienia koordynacji działań </w:t>
      </w:r>
      <w:r w:rsidRPr="004E0F02">
        <w:rPr>
          <w:rFonts w:eastAsia="Calibri" w:cs="Times New Roman"/>
          <w:szCs w:val="24"/>
          <w:shd w:val="clear" w:color="auto" w:fill="FFFFFF"/>
          <w:lang w:eastAsia="en-US"/>
        </w:rPr>
        <w:t>w</w:t>
      </w:r>
      <w:r w:rsidRPr="004E0F02">
        <w:rPr>
          <w:rFonts w:eastAsia="Calibri" w:cs="Times New Roman"/>
          <w:szCs w:val="24"/>
          <w:lang w:eastAsia="en-US"/>
        </w:rPr>
        <w:t> </w:t>
      </w:r>
      <w:r w:rsidRPr="004E0F02">
        <w:rPr>
          <w:rFonts w:eastAsia="Calibri" w:cs="Times New Roman"/>
          <w:szCs w:val="24"/>
          <w:shd w:val="clear" w:color="auto" w:fill="FFFFFF"/>
          <w:lang w:eastAsia="en-US"/>
        </w:rPr>
        <w:t xml:space="preserve">ramach realizacji Programu Otwierania Danych </w:t>
      </w:r>
      <w:r w:rsidRPr="004E0F02">
        <w:rPr>
          <w:rFonts w:eastAsia="Calibri" w:cs="Times New Roman"/>
          <w:szCs w:val="24"/>
          <w:lang w:eastAsia="en-US"/>
        </w:rPr>
        <w:t>oraz wymiany informacji na poziomie strategiczno</w:t>
      </w:r>
      <w:r w:rsidR="00B60F61" w:rsidRPr="004E0F02">
        <w:rPr>
          <w:rFonts w:eastAsia="Calibri" w:cs="Times New Roman"/>
          <w:szCs w:val="24"/>
          <w:lang w:eastAsia="en-US"/>
        </w:rPr>
        <w:t>-</w:t>
      </w:r>
      <w:r w:rsidRPr="004E0F02">
        <w:rPr>
          <w:rFonts w:eastAsia="Calibri" w:cs="Times New Roman"/>
          <w:szCs w:val="24"/>
          <w:lang w:eastAsia="en-US"/>
        </w:rPr>
        <w:t>politycznym w zakresie otwartości danych w Rzeczypospolitej Polskiej, projektodawca zakłada powołanie Koordynatora Programu. Zgodnie z art. 3</w:t>
      </w:r>
      <w:r w:rsidR="00D44CEC" w:rsidRPr="004E0F02">
        <w:rPr>
          <w:rFonts w:eastAsia="Calibri" w:cs="Times New Roman"/>
          <w:szCs w:val="24"/>
          <w:lang w:eastAsia="en-US"/>
        </w:rPr>
        <w:t>2</w:t>
      </w:r>
      <w:r w:rsidRPr="004E0F02">
        <w:rPr>
          <w:rFonts w:eastAsia="Calibri" w:cs="Times New Roman"/>
          <w:szCs w:val="24"/>
          <w:lang w:eastAsia="en-US"/>
        </w:rPr>
        <w:t xml:space="preserve"> koordynowanie działań w ramach realizacji Programu Otwierania Danych powierza się ministrowi właściwemu do spraw informatyzacji. Działalność Koordynatora Programu zapewni spójność kierunków w procesie zwiększenia ilości oraz poprawy jakości informacji sektora publicznego oraz metadanych oraz nada temu procesowi odpowiedną rangę. </w:t>
      </w:r>
      <w:r w:rsidR="001019FF" w:rsidRPr="004E0F02">
        <w:rPr>
          <w:rFonts w:eastAsia="Calibri" w:cs="Times New Roman"/>
          <w:szCs w:val="24"/>
          <w:lang w:eastAsia="en-US"/>
        </w:rPr>
        <w:t xml:space="preserve">Projektowana regulacja zobowiązuje ministra właściwego do spraw informatyzacji do dokonywania co 2 lata </w:t>
      </w:r>
      <w:r w:rsidR="001019FF" w:rsidRPr="004E0F02">
        <w:rPr>
          <w:rFonts w:eastAsia="Calibri" w:cs="Times New Roman"/>
          <w:szCs w:val="24"/>
          <w:shd w:val="clear" w:color="auto" w:fill="FFFFFF"/>
          <w:lang w:eastAsia="en-US"/>
        </w:rPr>
        <w:t>przeglądu Programu we współpracy z </w:t>
      </w:r>
      <w:r w:rsidR="00DA382A" w:rsidRPr="004E0F02">
        <w:rPr>
          <w:rFonts w:eastAsia="Calibri" w:cs="Times New Roman"/>
          <w:szCs w:val="24"/>
          <w:shd w:val="clear" w:color="auto" w:fill="FFFFFF"/>
          <w:lang w:eastAsia="en-US"/>
        </w:rPr>
        <w:t>Realizatorami Programu</w:t>
      </w:r>
      <w:r w:rsidR="001019FF" w:rsidRPr="004E0F02">
        <w:rPr>
          <w:rFonts w:eastAsia="Calibri" w:cs="Times New Roman"/>
          <w:szCs w:val="24"/>
          <w:shd w:val="clear" w:color="auto" w:fill="FFFFFF"/>
          <w:lang w:eastAsia="en-US"/>
        </w:rPr>
        <w:t>, o których mowa w art. 3</w:t>
      </w:r>
      <w:r w:rsidR="00B60F61" w:rsidRPr="004E0F02">
        <w:rPr>
          <w:rFonts w:eastAsia="Calibri" w:cs="Times New Roman"/>
          <w:szCs w:val="24"/>
          <w:shd w:val="clear" w:color="auto" w:fill="FFFFFF"/>
          <w:lang w:eastAsia="en-US"/>
        </w:rPr>
        <w:t>3</w:t>
      </w:r>
      <w:r w:rsidR="001019FF" w:rsidRPr="004E0F02">
        <w:rPr>
          <w:rFonts w:eastAsia="Calibri" w:cs="Times New Roman"/>
          <w:szCs w:val="24"/>
          <w:shd w:val="clear" w:color="auto" w:fill="FFFFFF"/>
          <w:lang w:eastAsia="en-US"/>
        </w:rPr>
        <w:t>.</w:t>
      </w:r>
      <w:r w:rsidR="00B60F61" w:rsidRPr="004E0F02">
        <w:rPr>
          <w:rFonts w:eastAsia="Calibri" w:cs="Times New Roman"/>
          <w:szCs w:val="24"/>
          <w:shd w:val="clear" w:color="auto" w:fill="FFFFFF"/>
          <w:lang w:eastAsia="en-US"/>
        </w:rPr>
        <w:t xml:space="preserve"> </w:t>
      </w:r>
      <w:r w:rsidR="00B60F61" w:rsidRPr="004E0F02">
        <w:rPr>
          <w:rFonts w:eastAsia="Calibri" w:cs="Times New Roman"/>
          <w:szCs w:val="24"/>
          <w:lang w:eastAsia="en-US"/>
        </w:rPr>
        <w:t xml:space="preserve">Po zakończeniu Programu minister właściwy do spraw informatyzacji przedstawia Radzie Ministrów końcowe sprawozdanie z realizacji programu w ciągu 6 miesięcy od jego zakończenia. </w:t>
      </w:r>
      <w:r w:rsidR="00DA382A" w:rsidRPr="004E0F02">
        <w:rPr>
          <w:rFonts w:eastAsia="Calibri" w:cs="Times New Roman"/>
          <w:szCs w:val="24"/>
          <w:shd w:val="clear" w:color="auto" w:fill="FFFFFF"/>
          <w:lang w:eastAsia="en-US"/>
        </w:rPr>
        <w:t xml:space="preserve">Ponadto, </w:t>
      </w:r>
      <w:r w:rsidR="00DA382A" w:rsidRPr="004E0F02">
        <w:rPr>
          <w:rFonts w:eastAsia="Calibri" w:cs="Times New Roman"/>
          <w:szCs w:val="24"/>
          <w:lang w:eastAsia="en-US"/>
        </w:rPr>
        <w:t>d</w:t>
      </w:r>
      <w:r w:rsidRPr="004E0F02">
        <w:rPr>
          <w:rFonts w:eastAsia="Calibri" w:cs="Times New Roman"/>
          <w:szCs w:val="24"/>
          <w:lang w:eastAsia="en-US"/>
        </w:rPr>
        <w:t>o zadań Koordynatora Programu należeć będzie m.in.: p</w:t>
      </w:r>
      <w:r w:rsidRPr="004E0F02" w:rsidDel="008E347E">
        <w:rPr>
          <w:rFonts w:eastAsia="Calibri" w:cs="Times New Roman"/>
          <w:szCs w:val="24"/>
          <w:lang w:eastAsia="en-US"/>
        </w:rPr>
        <w:t>romowanie jednolitej polityki otwartego dostępu do danych</w:t>
      </w:r>
      <w:r w:rsidRPr="004E0F02">
        <w:rPr>
          <w:rFonts w:eastAsia="Calibri" w:cs="Times New Roman"/>
          <w:szCs w:val="24"/>
          <w:lang w:eastAsia="en-US"/>
        </w:rPr>
        <w:t>; harmonizacja procesów wynikających z wdrażania Programu Otwierania Danych; współpraca z </w:t>
      </w:r>
      <w:r w:rsidR="008B756B" w:rsidRPr="004E0F02">
        <w:rPr>
          <w:rFonts w:eastAsia="Calibri" w:cs="Times New Roman"/>
          <w:szCs w:val="24"/>
          <w:lang w:eastAsia="en-US"/>
        </w:rPr>
        <w:t>Realizatorami Programu</w:t>
      </w:r>
      <w:r w:rsidRPr="004E0F02">
        <w:rPr>
          <w:rFonts w:eastAsia="Calibri" w:cs="Times New Roman"/>
          <w:szCs w:val="24"/>
          <w:lang w:eastAsia="en-US"/>
        </w:rPr>
        <w:t xml:space="preserve">, w zakresie wdrażania </w:t>
      </w:r>
      <w:r w:rsidRPr="004E0F02">
        <w:rPr>
          <w:rFonts w:eastAsia="Calibri" w:cs="Times New Roman"/>
          <w:szCs w:val="24"/>
          <w:shd w:val="clear" w:color="auto" w:fill="FFFFFF"/>
          <w:lang w:eastAsia="en-US"/>
        </w:rPr>
        <w:t xml:space="preserve">Programu </w:t>
      </w:r>
      <w:r w:rsidR="008B756B" w:rsidRPr="004E0F02">
        <w:rPr>
          <w:rFonts w:eastAsia="Calibri" w:cs="Times New Roman"/>
          <w:szCs w:val="24"/>
          <w:shd w:val="clear" w:color="auto" w:fill="FFFFFF"/>
          <w:lang w:eastAsia="en-US"/>
        </w:rPr>
        <w:t>O</w:t>
      </w:r>
      <w:r w:rsidRPr="004E0F02">
        <w:rPr>
          <w:rFonts w:eastAsia="Calibri" w:cs="Times New Roman"/>
          <w:szCs w:val="24"/>
          <w:shd w:val="clear" w:color="auto" w:fill="FFFFFF"/>
          <w:lang w:eastAsia="en-US"/>
        </w:rPr>
        <w:t>twierania</w:t>
      </w:r>
      <w:r w:rsidR="008B756B" w:rsidRPr="004E0F02">
        <w:rPr>
          <w:rFonts w:eastAsia="Calibri" w:cs="Times New Roman"/>
          <w:szCs w:val="24"/>
          <w:shd w:val="clear" w:color="auto" w:fill="FFFFFF"/>
          <w:lang w:eastAsia="en-US"/>
        </w:rPr>
        <w:t xml:space="preserve"> Danych</w:t>
      </w:r>
      <w:r w:rsidRPr="004E0F02">
        <w:rPr>
          <w:rFonts w:eastAsia="Calibri" w:cs="Times New Roman"/>
          <w:szCs w:val="24"/>
          <w:shd w:val="clear" w:color="auto" w:fill="FFFFFF"/>
          <w:lang w:eastAsia="en-US"/>
        </w:rPr>
        <w:t xml:space="preserve">; </w:t>
      </w:r>
      <w:r w:rsidRPr="004E0F02">
        <w:rPr>
          <w:rFonts w:eastAsia="Calibri" w:cs="Times New Roman"/>
          <w:szCs w:val="24"/>
          <w:lang w:eastAsia="en-US"/>
        </w:rPr>
        <w:t>z</w:t>
      </w:r>
      <w:r w:rsidRPr="004E0F02" w:rsidDel="008E347E">
        <w:rPr>
          <w:rFonts w:eastAsia="Calibri" w:cs="Times New Roman"/>
          <w:szCs w:val="24"/>
          <w:lang w:eastAsia="en-US"/>
        </w:rPr>
        <w:t>aplanowanie i</w:t>
      </w:r>
      <w:r w:rsidRPr="004E0F02">
        <w:rPr>
          <w:rFonts w:eastAsia="Calibri" w:cs="Times New Roman"/>
          <w:szCs w:val="24"/>
          <w:lang w:eastAsia="en-US"/>
        </w:rPr>
        <w:t> </w:t>
      </w:r>
      <w:r w:rsidRPr="004E0F02" w:rsidDel="008E347E">
        <w:rPr>
          <w:rFonts w:eastAsia="Calibri" w:cs="Times New Roman"/>
          <w:szCs w:val="24"/>
          <w:lang w:eastAsia="en-US"/>
        </w:rPr>
        <w:t>skoordynowanie działań edukacyjnych, podnoszących kompetencje cyfrowe administracji w</w:t>
      </w:r>
      <w:r w:rsidRPr="004E0F02">
        <w:rPr>
          <w:rFonts w:eastAsia="Calibri" w:cs="Times New Roman"/>
          <w:szCs w:val="24"/>
          <w:lang w:eastAsia="en-US"/>
        </w:rPr>
        <w:t> </w:t>
      </w:r>
      <w:r w:rsidRPr="004E0F02" w:rsidDel="008E347E">
        <w:rPr>
          <w:rFonts w:eastAsia="Calibri" w:cs="Times New Roman"/>
          <w:szCs w:val="24"/>
          <w:lang w:eastAsia="en-US"/>
        </w:rPr>
        <w:t>zakresie otwartości danych</w:t>
      </w:r>
      <w:r w:rsidRPr="004E0F02">
        <w:rPr>
          <w:rFonts w:eastAsia="Calibri" w:cs="Times New Roman"/>
          <w:szCs w:val="24"/>
          <w:lang w:eastAsia="en-US"/>
        </w:rPr>
        <w:t xml:space="preserve">. Do zadań Koordynatora Programu będzie </w:t>
      </w:r>
      <w:r w:rsidRPr="004E0F02">
        <w:rPr>
          <w:rFonts w:eastAsia="Calibri" w:cs="Times New Roman"/>
          <w:szCs w:val="24"/>
          <w:lang w:eastAsia="en-US"/>
        </w:rPr>
        <w:lastRenderedPageBreak/>
        <w:t>również należeć współpraca z podmiotami zobowiązanymi, organizacjami pozarządowym oraz innymi podmiotami uczestniczącymi w działaniach w zakresie polityki otwierania danych.</w:t>
      </w:r>
    </w:p>
    <w:p w14:paraId="38293861" w14:textId="77777777" w:rsidR="00FD09D4" w:rsidRPr="004E0F02" w:rsidRDefault="00906068" w:rsidP="00A42682">
      <w:pPr>
        <w:widowControl/>
        <w:spacing w:after="60" w:line="276" w:lineRule="auto"/>
        <w:jc w:val="both"/>
        <w:rPr>
          <w:rFonts w:eastAsia="Calibri" w:cs="Times New Roman"/>
          <w:szCs w:val="24"/>
          <w:lang w:eastAsia="en-US"/>
        </w:rPr>
      </w:pPr>
      <w:r w:rsidRPr="004E0F02">
        <w:rPr>
          <w:rFonts w:eastAsia="Calibri" w:cs="Times New Roman"/>
          <w:szCs w:val="24"/>
          <w:lang w:eastAsia="en-US"/>
        </w:rPr>
        <w:t>Art 3</w:t>
      </w:r>
      <w:r w:rsidR="00C137F2" w:rsidRPr="004E0F02">
        <w:rPr>
          <w:rFonts w:eastAsia="Calibri" w:cs="Times New Roman"/>
          <w:szCs w:val="24"/>
          <w:lang w:eastAsia="en-US"/>
        </w:rPr>
        <w:t>3</w:t>
      </w:r>
      <w:r w:rsidRPr="004E0F02">
        <w:rPr>
          <w:rFonts w:eastAsia="Calibri" w:cs="Times New Roman"/>
          <w:szCs w:val="24"/>
          <w:lang w:eastAsia="en-US"/>
        </w:rPr>
        <w:t xml:space="preserve"> ustawy wyznacza zadania Realizatorów Program</w:t>
      </w:r>
      <w:r w:rsidR="00C137F2" w:rsidRPr="004E0F02">
        <w:rPr>
          <w:rFonts w:eastAsia="Calibri" w:cs="Times New Roman"/>
          <w:szCs w:val="24"/>
          <w:lang w:eastAsia="en-US"/>
        </w:rPr>
        <w:t>u</w:t>
      </w:r>
      <w:r w:rsidRPr="004E0F02">
        <w:rPr>
          <w:rFonts w:eastAsia="Calibri" w:cs="Times New Roman"/>
          <w:szCs w:val="24"/>
          <w:lang w:eastAsia="en-US"/>
        </w:rPr>
        <w:t xml:space="preserve">, do których należą </w:t>
      </w:r>
      <w:r w:rsidR="00BA35B6" w:rsidRPr="004E0F02">
        <w:rPr>
          <w:rFonts w:eastAsia="Calibri" w:cs="Times New Roman"/>
          <w:szCs w:val="24"/>
          <w:lang w:eastAsia="en-US"/>
        </w:rPr>
        <w:t xml:space="preserve">w szczególności: zapewnienie należytego wdrażania Programu otwierania danych, współpraca z Koordynatorem Programu w zakresie </w:t>
      </w:r>
      <w:r w:rsidR="00C137F2" w:rsidRPr="004E0F02">
        <w:rPr>
          <w:rFonts w:eastAsia="Calibri" w:cs="Times New Roman"/>
          <w:szCs w:val="24"/>
          <w:lang w:eastAsia="en-US"/>
        </w:rPr>
        <w:t xml:space="preserve">jego </w:t>
      </w:r>
      <w:r w:rsidR="00BA35B6" w:rsidRPr="004E0F02">
        <w:rPr>
          <w:rFonts w:eastAsia="Calibri" w:cs="Times New Roman"/>
          <w:szCs w:val="24"/>
          <w:lang w:eastAsia="en-US"/>
        </w:rPr>
        <w:t xml:space="preserve">wdrażania, przedstawianie w każdym półroczu kalendarzowym Koordynatorowi Programu harmonogramu udostępniania danych </w:t>
      </w:r>
      <w:r w:rsidR="00C137F2" w:rsidRPr="004E0F02">
        <w:rPr>
          <w:rFonts w:eastAsia="Calibri" w:cs="Times New Roman"/>
          <w:szCs w:val="24"/>
          <w:lang w:eastAsia="en-US"/>
        </w:rPr>
        <w:t xml:space="preserve">w portalu dane.gov.pl </w:t>
      </w:r>
      <w:r w:rsidR="00BA35B6" w:rsidRPr="004E0F02">
        <w:rPr>
          <w:rFonts w:eastAsia="Calibri" w:cs="Times New Roman"/>
          <w:szCs w:val="24"/>
          <w:lang w:eastAsia="en-US"/>
        </w:rPr>
        <w:t xml:space="preserve">tj. nowych </w:t>
      </w:r>
      <w:r w:rsidR="00BA35B6" w:rsidRPr="004E0F02">
        <w:t>informacji sektora publicznego oraz poprawy jakość informacji sektora publicznego</w:t>
      </w:r>
      <w:r w:rsidR="00C137F2" w:rsidRPr="004E0F02">
        <w:t xml:space="preserve">. </w:t>
      </w:r>
      <w:r w:rsidR="00BA35B6" w:rsidRPr="004E0F02">
        <w:rPr>
          <w:rFonts w:eastAsia="Calibri" w:cs="Times New Roman"/>
          <w:szCs w:val="24"/>
          <w:lang w:eastAsia="en-US"/>
        </w:rPr>
        <w:t xml:space="preserve">Projektowana regulacja zobowiązuje Realizatorów Programu do składana Koordynatorowi Programu rocznego sprawozdania z realizacji Programu w terminie do 31 stycznia roku następującego po roku, którego dotyczy sprawozdanie. </w:t>
      </w:r>
    </w:p>
    <w:p w14:paraId="51DD11C9" w14:textId="77777777" w:rsidR="00FD09D4" w:rsidRPr="004E0F02" w:rsidRDefault="00FD09D4" w:rsidP="00A42682">
      <w:pPr>
        <w:widowControl/>
        <w:spacing w:after="60" w:line="276" w:lineRule="auto"/>
        <w:jc w:val="both"/>
        <w:rPr>
          <w:rFonts w:eastAsia="Calibri" w:cs="Times New Roman"/>
          <w:szCs w:val="24"/>
          <w:lang w:eastAsia="en-US"/>
        </w:rPr>
      </w:pPr>
    </w:p>
    <w:p w14:paraId="7F481775" w14:textId="2064B0BD" w:rsidR="00A42682" w:rsidRPr="004E0F02" w:rsidRDefault="00A42682" w:rsidP="00A42682">
      <w:pPr>
        <w:widowControl/>
        <w:spacing w:after="60" w:line="276" w:lineRule="auto"/>
        <w:jc w:val="both"/>
        <w:rPr>
          <w:rFonts w:eastAsia="Calibri" w:cs="Times New Roman"/>
          <w:b/>
          <w:szCs w:val="24"/>
          <w:lang w:eastAsia="en-US"/>
        </w:rPr>
      </w:pPr>
      <w:r w:rsidRPr="004E0F02">
        <w:rPr>
          <w:rFonts w:eastAsia="Calibri" w:cs="Times New Roman"/>
          <w:b/>
          <w:szCs w:val="24"/>
          <w:lang w:eastAsia="en-US"/>
        </w:rPr>
        <w:t>Rozdział 7. Portal danych.</w:t>
      </w:r>
    </w:p>
    <w:p w14:paraId="0BB8ECC7" w14:textId="4F61A37C" w:rsidR="00A42682" w:rsidRPr="004E0F02" w:rsidRDefault="00A42682" w:rsidP="00A42682">
      <w:pPr>
        <w:widowControl/>
        <w:autoSpaceDE/>
        <w:autoSpaceDN/>
        <w:adjustRightInd/>
        <w:spacing w:after="60" w:line="276" w:lineRule="auto"/>
        <w:jc w:val="both"/>
        <w:rPr>
          <w:rFonts w:eastAsia="Calibri" w:cs="Times New Roman"/>
          <w:szCs w:val="24"/>
          <w:lang w:eastAsia="en-US"/>
        </w:rPr>
      </w:pPr>
      <w:r w:rsidRPr="004E0F02">
        <w:rPr>
          <w:rFonts w:eastAsia="Calibri" w:cs="Times New Roman"/>
          <w:szCs w:val="24"/>
          <w:lang w:eastAsia="en-US"/>
        </w:rPr>
        <w:t>Rozdział ten zakłada przeniesienie do niniejszej ustawy</w:t>
      </w:r>
      <w:r w:rsidR="00E45B1D" w:rsidRPr="004E0F02">
        <w:rPr>
          <w:rFonts w:eastAsia="Calibri" w:cs="Times New Roman"/>
          <w:szCs w:val="24"/>
          <w:lang w:eastAsia="en-US"/>
        </w:rPr>
        <w:t xml:space="preserve"> i </w:t>
      </w:r>
      <w:r w:rsidRPr="004E0F02">
        <w:rPr>
          <w:rFonts w:eastAsia="Calibri" w:cs="Times New Roman"/>
          <w:szCs w:val="24"/>
          <w:lang w:eastAsia="en-US"/>
        </w:rPr>
        <w:t>zaktualizowanie regulacji dotyczącej centralnego repozytorium informacji publicznej, która znajduje się obecnie</w:t>
      </w:r>
      <w:r w:rsidR="00E45B1D" w:rsidRPr="004E0F02">
        <w:rPr>
          <w:rFonts w:eastAsia="Calibri" w:cs="Times New Roman"/>
          <w:szCs w:val="24"/>
          <w:lang w:eastAsia="en-US"/>
        </w:rPr>
        <w:t xml:space="preserve"> w </w:t>
      </w:r>
      <w:r w:rsidRPr="004E0F02">
        <w:rPr>
          <w:rFonts w:eastAsia="Calibri" w:cs="Times New Roman"/>
          <w:szCs w:val="24"/>
          <w:lang w:eastAsia="en-US"/>
        </w:rPr>
        <w:t>ustawie o</w:t>
      </w:r>
      <w:r w:rsidR="003C6A7F" w:rsidRPr="004E0F02">
        <w:rPr>
          <w:rFonts w:eastAsia="Calibri" w:cs="Times New Roman"/>
          <w:szCs w:val="24"/>
          <w:lang w:eastAsia="en-US"/>
        </w:rPr>
        <w:t> </w:t>
      </w:r>
      <w:r w:rsidRPr="004E0F02">
        <w:rPr>
          <w:rFonts w:eastAsia="Calibri" w:cs="Times New Roman"/>
          <w:szCs w:val="24"/>
          <w:lang w:eastAsia="en-US"/>
        </w:rPr>
        <w:t>dostępie do informacji publicznej.</w:t>
      </w:r>
    </w:p>
    <w:p w14:paraId="506038C7" w14:textId="5F7B7AA8" w:rsidR="00A42682" w:rsidRPr="004E0F02" w:rsidRDefault="00A42682" w:rsidP="00A42682">
      <w:pPr>
        <w:widowControl/>
        <w:autoSpaceDE/>
        <w:autoSpaceDN/>
        <w:adjustRightInd/>
        <w:spacing w:before="60" w:after="60" w:line="276" w:lineRule="auto"/>
        <w:jc w:val="both"/>
        <w:rPr>
          <w:rFonts w:eastAsia="Calibri" w:cs="Times New Roman"/>
          <w:szCs w:val="24"/>
          <w:lang w:eastAsia="en-US"/>
        </w:rPr>
      </w:pPr>
      <w:r w:rsidRPr="004E0F02">
        <w:rPr>
          <w:rFonts w:eastAsia="Times New Roman" w:cs="Times New Roman"/>
          <w:bCs/>
          <w:szCs w:val="24"/>
        </w:rPr>
        <w:t>Ustawodawca</w:t>
      </w:r>
      <w:r w:rsidR="00E45B1D" w:rsidRPr="004E0F02">
        <w:rPr>
          <w:rFonts w:eastAsia="Times New Roman" w:cs="Times New Roman"/>
          <w:bCs/>
          <w:szCs w:val="24"/>
        </w:rPr>
        <w:t xml:space="preserve"> w </w:t>
      </w:r>
      <w:r w:rsidRPr="004E0F02">
        <w:rPr>
          <w:rFonts w:eastAsia="Times New Roman" w:cs="Times New Roman"/>
          <w:bCs/>
          <w:szCs w:val="24"/>
        </w:rPr>
        <w:t>słowniczku ustawowym,</w:t>
      </w:r>
      <w:r w:rsidR="00E45B1D" w:rsidRPr="004E0F02">
        <w:rPr>
          <w:rFonts w:eastAsia="Times New Roman" w:cs="Times New Roman"/>
          <w:bCs/>
          <w:szCs w:val="24"/>
        </w:rPr>
        <w:t xml:space="preserve"> w art. 2 pkt </w:t>
      </w:r>
      <w:r w:rsidRPr="004E0F02">
        <w:rPr>
          <w:rFonts w:eastAsia="Times New Roman" w:cs="Times New Roman"/>
          <w:bCs/>
          <w:szCs w:val="24"/>
        </w:rPr>
        <w:t>1</w:t>
      </w:r>
      <w:r w:rsidR="00AA45C6" w:rsidRPr="004E0F02">
        <w:rPr>
          <w:rFonts w:eastAsia="Times New Roman" w:cs="Times New Roman"/>
          <w:bCs/>
          <w:szCs w:val="24"/>
        </w:rPr>
        <w:t>3</w:t>
      </w:r>
      <w:r w:rsidR="00E45B1D" w:rsidRPr="004E0F02">
        <w:rPr>
          <w:rFonts w:eastAsia="Times New Roman" w:cs="Times New Roman"/>
          <w:bCs/>
          <w:szCs w:val="24"/>
        </w:rPr>
        <w:t> </w:t>
      </w:r>
      <w:r w:rsidRPr="004E0F02">
        <w:rPr>
          <w:rFonts w:eastAsia="Times New Roman" w:cs="Times New Roman"/>
          <w:bCs/>
          <w:szCs w:val="24"/>
        </w:rPr>
        <w:t>projektu ustawy, zdefiniował portal danych jako prowadzone przez ministra właściwego do spraw informatyzacji, powszechnie dostępne</w:t>
      </w:r>
      <w:r w:rsidR="00E45B1D" w:rsidRPr="004E0F02">
        <w:rPr>
          <w:rFonts w:eastAsia="Times New Roman" w:cs="Times New Roman"/>
          <w:bCs/>
          <w:szCs w:val="24"/>
        </w:rPr>
        <w:t xml:space="preserve"> w </w:t>
      </w:r>
      <w:r w:rsidRPr="004E0F02">
        <w:rPr>
          <w:rFonts w:eastAsia="Times New Roman" w:cs="Times New Roman"/>
          <w:bCs/>
          <w:szCs w:val="24"/>
        </w:rPr>
        <w:t xml:space="preserve">sieci teleinformatycznej repozytorium, służące do udostępniania informacji sektora publicznego oraz danych prywatnych </w:t>
      </w:r>
      <w:r w:rsidR="00AA45C6" w:rsidRPr="004E0F02">
        <w:rPr>
          <w:rFonts w:eastAsia="Times New Roman" w:cs="Times New Roman"/>
          <w:bCs/>
          <w:szCs w:val="24"/>
        </w:rPr>
        <w:t xml:space="preserve">w celu </w:t>
      </w:r>
      <w:r w:rsidRPr="004E0F02">
        <w:rPr>
          <w:rFonts w:eastAsia="Times New Roman" w:cs="Times New Roman"/>
          <w:bCs/>
          <w:szCs w:val="24"/>
        </w:rPr>
        <w:t xml:space="preserve">ponownego wykorzystywania. Portal danych zastąpi dotychczasowe funkcjonalności centralnego repozytorium informacji publicznej. Funkcję portalu danych pełnić będzie </w:t>
      </w:r>
      <w:r w:rsidR="00A43D98" w:rsidRPr="004E0F02">
        <w:rPr>
          <w:rFonts w:eastAsia="Times New Roman" w:cs="Times New Roman"/>
          <w:bCs/>
          <w:szCs w:val="24"/>
        </w:rPr>
        <w:t xml:space="preserve">serwis internetowy </w:t>
      </w:r>
      <w:r w:rsidR="00AA45C6" w:rsidRPr="004E0F02">
        <w:rPr>
          <w:rFonts w:eastAsia="Times New Roman" w:cs="Times New Roman"/>
          <w:bCs/>
          <w:szCs w:val="24"/>
        </w:rPr>
        <w:t xml:space="preserve">dostępny </w:t>
      </w:r>
      <w:r w:rsidR="00A43D98" w:rsidRPr="004E0F02">
        <w:rPr>
          <w:rFonts w:eastAsia="Times New Roman" w:cs="Times New Roman"/>
          <w:bCs/>
          <w:szCs w:val="24"/>
        </w:rPr>
        <w:t xml:space="preserve">na </w:t>
      </w:r>
      <w:r w:rsidR="00AA45C6" w:rsidRPr="004E0F02">
        <w:rPr>
          <w:rFonts w:eastAsia="Times New Roman" w:cs="Times New Roman"/>
          <w:bCs/>
          <w:szCs w:val="24"/>
        </w:rPr>
        <w:t>stron</w:t>
      </w:r>
      <w:r w:rsidR="00A43D98" w:rsidRPr="004E0F02">
        <w:rPr>
          <w:rFonts w:eastAsia="Times New Roman" w:cs="Times New Roman"/>
          <w:bCs/>
          <w:szCs w:val="24"/>
        </w:rPr>
        <w:t>ie</w:t>
      </w:r>
      <w:r w:rsidR="00AA45C6" w:rsidRPr="004E0F02">
        <w:rPr>
          <w:rFonts w:eastAsia="Times New Roman" w:cs="Times New Roman"/>
          <w:bCs/>
          <w:szCs w:val="24"/>
        </w:rPr>
        <w:t xml:space="preserve"> www.</w:t>
      </w:r>
      <w:hyperlink r:id="rId10" w:history="1">
        <w:r w:rsidRPr="004E0F02">
          <w:rPr>
            <w:rFonts w:eastAsia="Times New Roman" w:cs="Times New Roman"/>
            <w:bCs/>
            <w:szCs w:val="24"/>
            <w:u w:val="single"/>
          </w:rPr>
          <w:t>dane.gov.pl</w:t>
        </w:r>
      </w:hyperlink>
      <w:r w:rsidRPr="004E0F02">
        <w:rPr>
          <w:rFonts w:eastAsia="Times New Roman" w:cs="Times New Roman"/>
          <w:bCs/>
          <w:szCs w:val="24"/>
        </w:rPr>
        <w:t>.</w:t>
      </w:r>
    </w:p>
    <w:p w14:paraId="166F03C3" w14:textId="6A42F438" w:rsidR="00A42682" w:rsidRPr="004E0F02" w:rsidRDefault="00A42682" w:rsidP="00A42682">
      <w:pPr>
        <w:widowControl/>
        <w:autoSpaceDE/>
        <w:autoSpaceDN/>
        <w:adjustRightInd/>
        <w:spacing w:after="60" w:line="276" w:lineRule="auto"/>
        <w:jc w:val="both"/>
        <w:rPr>
          <w:rFonts w:eastAsia="Calibri" w:cs="Times New Roman"/>
          <w:szCs w:val="24"/>
          <w:shd w:val="clear" w:color="auto" w:fill="FFFFFF"/>
          <w:lang w:eastAsia="en-US"/>
        </w:rPr>
      </w:pPr>
      <w:r w:rsidRPr="004E0F02">
        <w:rPr>
          <w:rFonts w:eastAsia="Calibri" w:cs="Times New Roman"/>
          <w:szCs w:val="24"/>
          <w:lang w:eastAsia="en-US"/>
        </w:rPr>
        <w:t>Do</w:t>
      </w:r>
      <w:r w:rsidR="00E45B1D" w:rsidRPr="004E0F02">
        <w:rPr>
          <w:rFonts w:eastAsia="Calibri" w:cs="Times New Roman"/>
          <w:szCs w:val="24"/>
          <w:lang w:eastAsia="en-US"/>
        </w:rPr>
        <w:t xml:space="preserve"> art. </w:t>
      </w:r>
      <w:r w:rsidR="00A43D98" w:rsidRPr="004E0F02">
        <w:rPr>
          <w:rFonts w:eastAsia="Calibri" w:cs="Times New Roman"/>
          <w:szCs w:val="24"/>
          <w:lang w:eastAsia="en-US"/>
        </w:rPr>
        <w:t>35</w:t>
      </w:r>
      <w:r w:rsidR="00E45B1D" w:rsidRPr="004E0F02">
        <w:rPr>
          <w:rFonts w:eastAsia="Calibri" w:cs="Times New Roman"/>
          <w:szCs w:val="24"/>
          <w:lang w:eastAsia="en-US"/>
        </w:rPr>
        <w:t xml:space="preserve"> ust. 1 </w:t>
      </w:r>
      <w:r w:rsidRPr="004E0F02">
        <w:rPr>
          <w:rFonts w:eastAsia="Calibri" w:cs="Times New Roman"/>
          <w:szCs w:val="24"/>
          <w:lang w:eastAsia="en-US"/>
        </w:rPr>
        <w:t>przeniesiona została zasada (obecnie funkcjonująca</w:t>
      </w:r>
      <w:r w:rsidR="00E45B1D" w:rsidRPr="004E0F02">
        <w:rPr>
          <w:rFonts w:eastAsia="Calibri" w:cs="Times New Roman"/>
          <w:szCs w:val="24"/>
          <w:lang w:eastAsia="en-US"/>
        </w:rPr>
        <w:t xml:space="preserve"> w </w:t>
      </w:r>
      <w:r w:rsidRPr="004E0F02">
        <w:rPr>
          <w:rFonts w:eastAsia="Calibri" w:cs="Times New Roman"/>
          <w:szCs w:val="24"/>
          <w:lang w:eastAsia="en-US"/>
        </w:rPr>
        <w:t>ustawie</w:t>
      </w:r>
      <w:r w:rsidR="00E45B1D" w:rsidRPr="004E0F02">
        <w:rPr>
          <w:rFonts w:eastAsia="Calibri" w:cs="Times New Roman"/>
          <w:szCs w:val="24"/>
          <w:lang w:eastAsia="en-US"/>
        </w:rPr>
        <w:t xml:space="preserve"> o </w:t>
      </w:r>
      <w:r w:rsidRPr="004E0F02">
        <w:rPr>
          <w:rFonts w:eastAsia="Calibri" w:cs="Times New Roman"/>
          <w:szCs w:val="24"/>
          <w:lang w:eastAsia="en-US"/>
        </w:rPr>
        <w:t>dostępie do</w:t>
      </w:r>
      <w:r w:rsidR="00F1348C" w:rsidRPr="004E0F02">
        <w:rPr>
          <w:rFonts w:eastAsia="Calibri" w:cs="Times New Roman"/>
          <w:szCs w:val="24"/>
          <w:lang w:eastAsia="en-US"/>
        </w:rPr>
        <w:t> </w:t>
      </w:r>
      <w:r w:rsidRPr="004E0F02">
        <w:rPr>
          <w:rFonts w:eastAsia="Calibri" w:cs="Times New Roman"/>
          <w:szCs w:val="24"/>
          <w:lang w:eastAsia="en-US"/>
        </w:rPr>
        <w:t>informacji publicznej) warunkująca rodzaj informacji sektora publicznego możliwy do</w:t>
      </w:r>
      <w:r w:rsidR="00F1348C" w:rsidRPr="004E0F02">
        <w:rPr>
          <w:rFonts w:eastAsia="Calibri" w:cs="Times New Roman"/>
          <w:szCs w:val="24"/>
          <w:lang w:eastAsia="en-US"/>
        </w:rPr>
        <w:t> </w:t>
      </w:r>
      <w:r w:rsidRPr="004E0F02">
        <w:rPr>
          <w:rFonts w:eastAsia="Calibri" w:cs="Times New Roman"/>
          <w:szCs w:val="24"/>
          <w:lang w:eastAsia="en-US"/>
        </w:rPr>
        <w:t>udostępniania na portalu danych.</w:t>
      </w:r>
      <w:r w:rsidR="00E45B1D" w:rsidRPr="004E0F02">
        <w:rPr>
          <w:rFonts w:eastAsia="Calibri" w:cs="Times New Roman"/>
          <w:szCs w:val="24"/>
          <w:lang w:eastAsia="en-US"/>
        </w:rPr>
        <w:t xml:space="preserve"> W </w:t>
      </w:r>
      <w:r w:rsidRPr="004E0F02">
        <w:rPr>
          <w:rFonts w:eastAsia="Calibri" w:cs="Times New Roman"/>
          <w:szCs w:val="24"/>
          <w:lang w:eastAsia="en-US"/>
        </w:rPr>
        <w:t>celu przejrzystości stosowanych określeń, w</w:t>
      </w:r>
      <w:r w:rsidR="007755B0" w:rsidRPr="004E0F02">
        <w:rPr>
          <w:rFonts w:eastAsia="Calibri" w:cs="Times New Roman"/>
          <w:szCs w:val="24"/>
          <w:lang w:eastAsia="en-US"/>
        </w:rPr>
        <w:t> </w:t>
      </w:r>
      <w:r w:rsidRPr="004E0F02">
        <w:rPr>
          <w:rFonts w:eastAsia="Calibri" w:cs="Times New Roman"/>
          <w:szCs w:val="24"/>
          <w:lang w:eastAsia="en-US"/>
        </w:rPr>
        <w:t xml:space="preserve">przedmiotowym artykule </w:t>
      </w:r>
      <w:r w:rsidRPr="004E0F02">
        <w:rPr>
          <w:rFonts w:eastAsia="Times New Roman" w:cs="Times New Roman"/>
          <w:szCs w:val="24"/>
          <w:lang w:eastAsia="en-US"/>
        </w:rPr>
        <w:t xml:space="preserve">proponuje się zastąpienie sfomułowania </w:t>
      </w:r>
      <w:r w:rsidR="00E45B1D" w:rsidRPr="004E0F02">
        <w:rPr>
          <w:rFonts w:eastAsia="Times New Roman" w:cs="Times New Roman"/>
          <w:szCs w:val="24"/>
          <w:lang w:eastAsia="en-US"/>
        </w:rPr>
        <w:t>„</w:t>
      </w:r>
      <w:r w:rsidRPr="004E0F02">
        <w:rPr>
          <w:rFonts w:eastAsia="Calibri" w:cs="Times New Roman"/>
          <w:szCs w:val="24"/>
          <w:shd w:val="clear" w:color="auto" w:fill="FFFFFF"/>
          <w:lang w:eastAsia="en-US"/>
        </w:rPr>
        <w:t>zasoby informacyjne</w:t>
      </w:r>
      <w:r w:rsidR="00E45B1D" w:rsidRPr="004E0F02">
        <w:rPr>
          <w:rFonts w:eastAsia="Calibri" w:cs="Times New Roman"/>
          <w:szCs w:val="24"/>
          <w:shd w:val="clear" w:color="auto" w:fill="FFFFFF"/>
          <w:lang w:eastAsia="en-US"/>
        </w:rPr>
        <w:t>”</w:t>
      </w:r>
      <w:r w:rsidRPr="004E0F02">
        <w:rPr>
          <w:rFonts w:eastAsia="Calibri" w:cs="Times New Roman"/>
          <w:szCs w:val="24"/>
          <w:shd w:val="clear" w:color="auto" w:fill="FFFFFF"/>
          <w:lang w:eastAsia="en-US"/>
        </w:rPr>
        <w:t xml:space="preserve"> (obecnie funkcjonującego</w:t>
      </w:r>
      <w:r w:rsidR="00E45B1D" w:rsidRPr="004E0F02">
        <w:rPr>
          <w:rFonts w:eastAsia="Calibri" w:cs="Times New Roman"/>
          <w:szCs w:val="24"/>
          <w:shd w:val="clear" w:color="auto" w:fill="FFFFFF"/>
          <w:lang w:eastAsia="en-US"/>
        </w:rPr>
        <w:t xml:space="preserve"> w </w:t>
      </w:r>
      <w:r w:rsidRPr="004E0F02">
        <w:rPr>
          <w:rFonts w:eastAsia="Calibri" w:cs="Times New Roman"/>
          <w:szCs w:val="24"/>
          <w:shd w:val="clear" w:color="auto" w:fill="FFFFFF"/>
          <w:lang w:eastAsia="en-US"/>
        </w:rPr>
        <w:t>ustawie</w:t>
      </w:r>
      <w:r w:rsidR="00E45B1D" w:rsidRPr="004E0F02">
        <w:rPr>
          <w:rFonts w:eastAsia="Calibri" w:cs="Times New Roman"/>
          <w:szCs w:val="24"/>
          <w:shd w:val="clear" w:color="auto" w:fill="FFFFFF"/>
          <w:lang w:eastAsia="en-US"/>
        </w:rPr>
        <w:t xml:space="preserve"> o </w:t>
      </w:r>
      <w:r w:rsidRPr="004E0F02">
        <w:rPr>
          <w:rFonts w:eastAsia="Calibri" w:cs="Times New Roman"/>
          <w:szCs w:val="24"/>
          <w:shd w:val="clear" w:color="auto" w:fill="FFFFFF"/>
          <w:lang w:eastAsia="en-US"/>
        </w:rPr>
        <w:t xml:space="preserve">dostępie do informacji publicznej) określeniem </w:t>
      </w:r>
      <w:r w:rsidR="00E45B1D" w:rsidRPr="004E0F02">
        <w:rPr>
          <w:rFonts w:eastAsia="Calibri" w:cs="Times New Roman"/>
          <w:szCs w:val="24"/>
          <w:shd w:val="clear" w:color="auto" w:fill="FFFFFF"/>
          <w:lang w:eastAsia="en-US"/>
        </w:rPr>
        <w:t>„</w:t>
      </w:r>
      <w:r w:rsidRPr="004E0F02">
        <w:rPr>
          <w:rFonts w:eastAsia="Calibri" w:cs="Times New Roman"/>
          <w:szCs w:val="24"/>
          <w:shd w:val="clear" w:color="auto" w:fill="FFFFFF"/>
          <w:lang w:eastAsia="en-US"/>
        </w:rPr>
        <w:t>informacje sektora publicznego</w:t>
      </w:r>
      <w:r w:rsidR="00E45B1D" w:rsidRPr="004E0F02">
        <w:rPr>
          <w:rFonts w:eastAsia="Calibri" w:cs="Times New Roman"/>
          <w:szCs w:val="24"/>
          <w:shd w:val="clear" w:color="auto" w:fill="FFFFFF"/>
          <w:lang w:eastAsia="en-US"/>
        </w:rPr>
        <w:t>”</w:t>
      </w:r>
      <w:r w:rsidRPr="004E0F02">
        <w:rPr>
          <w:rFonts w:eastAsia="Calibri" w:cs="Times New Roman"/>
          <w:szCs w:val="24"/>
          <w:shd w:val="clear" w:color="auto" w:fill="FFFFFF"/>
          <w:lang w:eastAsia="en-US"/>
        </w:rPr>
        <w:t xml:space="preserve"> zdefiniowanym</w:t>
      </w:r>
      <w:r w:rsidR="00E45B1D" w:rsidRPr="004E0F02">
        <w:rPr>
          <w:rFonts w:eastAsia="Calibri" w:cs="Times New Roman"/>
          <w:szCs w:val="24"/>
          <w:shd w:val="clear" w:color="auto" w:fill="FFFFFF"/>
          <w:lang w:eastAsia="en-US"/>
        </w:rPr>
        <w:t xml:space="preserve"> w </w:t>
      </w:r>
      <w:r w:rsidRPr="004E0F02">
        <w:rPr>
          <w:rFonts w:eastAsia="Calibri" w:cs="Times New Roman"/>
          <w:szCs w:val="24"/>
          <w:shd w:val="clear" w:color="auto" w:fill="FFFFFF"/>
          <w:lang w:eastAsia="en-US"/>
        </w:rPr>
        <w:t>słowniczku ustawowym</w:t>
      </w:r>
      <w:r w:rsidR="00E45B1D" w:rsidRPr="004E0F02">
        <w:rPr>
          <w:rFonts w:eastAsia="Calibri" w:cs="Times New Roman"/>
          <w:szCs w:val="24"/>
          <w:shd w:val="clear" w:color="auto" w:fill="FFFFFF"/>
          <w:lang w:eastAsia="en-US"/>
        </w:rPr>
        <w:t xml:space="preserve"> w art. 2 pkt </w:t>
      </w:r>
      <w:r w:rsidRPr="004E0F02">
        <w:rPr>
          <w:rFonts w:eastAsia="Calibri" w:cs="Times New Roman"/>
          <w:szCs w:val="24"/>
          <w:shd w:val="clear" w:color="auto" w:fill="FFFFFF"/>
          <w:lang w:eastAsia="en-US"/>
        </w:rPr>
        <w:t xml:space="preserve">8. </w:t>
      </w:r>
      <w:r w:rsidR="00F1348C" w:rsidRPr="004E0F02">
        <w:rPr>
          <w:rFonts w:eastAsia="Calibri" w:cs="Times New Roman"/>
          <w:szCs w:val="24"/>
          <w:shd w:val="clear" w:color="auto" w:fill="FFFFFF"/>
          <w:lang w:eastAsia="en-US"/>
        </w:rPr>
        <w:t>U</w:t>
      </w:r>
      <w:r w:rsidRPr="004E0F02">
        <w:rPr>
          <w:rFonts w:eastAsia="Calibri" w:cs="Times New Roman"/>
          <w:szCs w:val="24"/>
          <w:shd w:val="clear" w:color="auto" w:fill="FFFFFF"/>
          <w:lang w:eastAsia="en-US"/>
        </w:rPr>
        <w:t>jednolicenie stosowanych określeń</w:t>
      </w:r>
      <w:r w:rsidR="00E45B1D" w:rsidRPr="004E0F02">
        <w:rPr>
          <w:rFonts w:eastAsia="Calibri" w:cs="Times New Roman"/>
          <w:szCs w:val="24"/>
          <w:shd w:val="clear" w:color="auto" w:fill="FFFFFF"/>
          <w:lang w:eastAsia="en-US"/>
        </w:rPr>
        <w:t xml:space="preserve"> w </w:t>
      </w:r>
      <w:r w:rsidRPr="004E0F02">
        <w:rPr>
          <w:rFonts w:eastAsia="Calibri" w:cs="Times New Roman"/>
          <w:szCs w:val="24"/>
          <w:shd w:val="clear" w:color="auto" w:fill="FFFFFF"/>
          <w:lang w:eastAsia="en-US"/>
        </w:rPr>
        <w:t>ustawie ma na celu również ułatwienie posługiwania się tekstem aktu prawnego.</w:t>
      </w:r>
    </w:p>
    <w:p w14:paraId="3BEFFEAC" w14:textId="5BD6A216" w:rsidR="00A42682" w:rsidRPr="004E0F02" w:rsidRDefault="00A42682" w:rsidP="00A42682">
      <w:pPr>
        <w:widowControl/>
        <w:autoSpaceDE/>
        <w:autoSpaceDN/>
        <w:adjustRightInd/>
        <w:spacing w:after="60" w:line="276" w:lineRule="auto"/>
        <w:jc w:val="both"/>
        <w:rPr>
          <w:rFonts w:eastAsia="Calibri" w:cs="Times New Roman"/>
          <w:szCs w:val="24"/>
          <w:lang w:eastAsia="en-US"/>
        </w:rPr>
      </w:pPr>
      <w:r w:rsidRPr="004E0F02">
        <w:rPr>
          <w:rFonts w:eastAsia="Times New Roman" w:cs="Times New Roman"/>
          <w:szCs w:val="24"/>
        </w:rPr>
        <w:t>Projekt ustawy wyznacza zamknięty katalog podmiotów, które są zobligowane do</w:t>
      </w:r>
      <w:r w:rsidR="00F1348C" w:rsidRPr="004E0F02">
        <w:rPr>
          <w:rFonts w:eastAsia="Times New Roman" w:cs="Times New Roman"/>
          <w:szCs w:val="24"/>
        </w:rPr>
        <w:t> </w:t>
      </w:r>
      <w:r w:rsidRPr="004E0F02">
        <w:rPr>
          <w:rFonts w:eastAsia="Times New Roman" w:cs="Times New Roman"/>
          <w:szCs w:val="24"/>
        </w:rPr>
        <w:t>udostępniania na portalu otwartych danych informacji sektora publicznego lub metadanych</w:t>
      </w:r>
      <w:r w:rsidR="00E45B1D" w:rsidRPr="004E0F02">
        <w:rPr>
          <w:rFonts w:eastAsia="Times New Roman" w:cs="Times New Roman"/>
          <w:szCs w:val="24"/>
        </w:rPr>
        <w:t xml:space="preserve"> w </w:t>
      </w:r>
      <w:r w:rsidRPr="004E0F02">
        <w:rPr>
          <w:rFonts w:eastAsia="Times New Roman" w:cs="Times New Roman"/>
          <w:szCs w:val="24"/>
        </w:rPr>
        <w:t xml:space="preserve">celu ich ponownego wykorzystywania. </w:t>
      </w:r>
      <w:r w:rsidRPr="004E0F02">
        <w:rPr>
          <w:rFonts w:eastAsia="Times New Roman" w:cs="Times New Roman"/>
          <w:szCs w:val="24"/>
          <w:lang w:eastAsia="en-US"/>
        </w:rPr>
        <w:t>Projektowany przepis</w:t>
      </w:r>
      <w:r w:rsidR="00E45B1D" w:rsidRPr="004E0F02">
        <w:rPr>
          <w:rFonts w:eastAsia="Times New Roman" w:cs="Times New Roman"/>
          <w:szCs w:val="24"/>
          <w:lang w:eastAsia="en-US"/>
        </w:rPr>
        <w:t xml:space="preserve"> art. </w:t>
      </w:r>
      <w:r w:rsidR="004D6E6B" w:rsidRPr="004E0F02">
        <w:rPr>
          <w:rFonts w:eastAsia="Times New Roman" w:cs="Times New Roman"/>
          <w:szCs w:val="24"/>
          <w:lang w:eastAsia="en-US"/>
        </w:rPr>
        <w:t>35</w:t>
      </w:r>
      <w:r w:rsidR="00E45B1D" w:rsidRPr="004E0F02">
        <w:rPr>
          <w:rFonts w:eastAsia="Times New Roman" w:cs="Times New Roman"/>
          <w:szCs w:val="24"/>
          <w:lang w:eastAsia="en-US"/>
        </w:rPr>
        <w:t xml:space="preserve"> ust. 2 </w:t>
      </w:r>
      <w:r w:rsidRPr="004E0F02">
        <w:rPr>
          <w:rFonts w:eastAsia="Times New Roman" w:cs="Times New Roman"/>
          <w:szCs w:val="24"/>
          <w:lang w:eastAsia="en-US"/>
        </w:rPr>
        <w:t>rozszerza obecny zakres podmiotów zobowiązanych (określony</w:t>
      </w:r>
      <w:r w:rsidR="00E45B1D" w:rsidRPr="004E0F02">
        <w:rPr>
          <w:rFonts w:eastAsia="Times New Roman" w:cs="Times New Roman"/>
          <w:szCs w:val="24"/>
          <w:lang w:eastAsia="en-US"/>
        </w:rPr>
        <w:t xml:space="preserve"> w </w:t>
      </w:r>
      <w:r w:rsidRPr="004E0F02">
        <w:rPr>
          <w:rFonts w:eastAsia="Times New Roman" w:cs="Times New Roman"/>
          <w:szCs w:val="24"/>
          <w:lang w:eastAsia="en-US"/>
        </w:rPr>
        <w:t>ustawie</w:t>
      </w:r>
      <w:r w:rsidR="00E45B1D" w:rsidRPr="004E0F02">
        <w:rPr>
          <w:rFonts w:eastAsia="Times New Roman" w:cs="Times New Roman"/>
          <w:szCs w:val="24"/>
          <w:lang w:eastAsia="en-US"/>
        </w:rPr>
        <w:t xml:space="preserve"> o </w:t>
      </w:r>
      <w:r w:rsidRPr="004E0F02">
        <w:rPr>
          <w:rFonts w:eastAsia="Times New Roman" w:cs="Times New Roman"/>
          <w:szCs w:val="24"/>
          <w:lang w:eastAsia="en-US"/>
        </w:rPr>
        <w:t xml:space="preserve">dostępie do informacji publicznych) </w:t>
      </w:r>
      <w:r w:rsidR="00F1348C" w:rsidRPr="004E0F02">
        <w:rPr>
          <w:rFonts w:eastAsia="Times New Roman" w:cs="Times New Roman"/>
          <w:szCs w:val="24"/>
          <w:lang w:eastAsia="en-US"/>
        </w:rPr>
        <w:t xml:space="preserve">obowiązanych </w:t>
      </w:r>
      <w:r w:rsidRPr="004E0F02">
        <w:rPr>
          <w:rFonts w:eastAsia="Times New Roman" w:cs="Times New Roman"/>
          <w:szCs w:val="24"/>
          <w:lang w:eastAsia="en-US"/>
        </w:rPr>
        <w:t>do udostępniania posiadanych informacji sektora publicznego na</w:t>
      </w:r>
      <w:r w:rsidR="00F1348C" w:rsidRPr="004E0F02">
        <w:rPr>
          <w:rFonts w:eastAsia="Times New Roman" w:cs="Times New Roman"/>
          <w:szCs w:val="24"/>
          <w:lang w:eastAsia="en-US"/>
        </w:rPr>
        <w:t> </w:t>
      </w:r>
      <w:r w:rsidRPr="004E0F02">
        <w:rPr>
          <w:rFonts w:eastAsia="Times New Roman" w:cs="Times New Roman"/>
          <w:szCs w:val="24"/>
          <w:lang w:eastAsia="en-US"/>
        </w:rPr>
        <w:t xml:space="preserve">portalu otwartych danych. Proponowany </w:t>
      </w:r>
      <w:r w:rsidRPr="004E0F02">
        <w:rPr>
          <w:rFonts w:eastAsia="Calibri" w:cs="Times New Roman"/>
          <w:szCs w:val="24"/>
          <w:lang w:eastAsia="en-US"/>
        </w:rPr>
        <w:t>katalog obejmuje podmioty zobowiązane w</w:t>
      </w:r>
      <w:r w:rsidR="007755B0" w:rsidRPr="004E0F02">
        <w:rPr>
          <w:rFonts w:eastAsia="Calibri" w:cs="Times New Roman"/>
          <w:szCs w:val="24"/>
          <w:lang w:eastAsia="en-US"/>
        </w:rPr>
        <w:t> </w:t>
      </w:r>
      <w:r w:rsidRPr="004E0F02">
        <w:rPr>
          <w:rFonts w:eastAsia="Calibri" w:cs="Times New Roman"/>
          <w:szCs w:val="24"/>
          <w:lang w:eastAsia="en-US"/>
        </w:rPr>
        <w:t>rozumieniu</w:t>
      </w:r>
      <w:r w:rsidR="00E45B1D" w:rsidRPr="004E0F02">
        <w:rPr>
          <w:rFonts w:eastAsia="Calibri" w:cs="Times New Roman"/>
          <w:szCs w:val="24"/>
          <w:lang w:eastAsia="en-US"/>
        </w:rPr>
        <w:t xml:space="preserve"> art. 3 </w:t>
      </w:r>
      <w:r w:rsidRPr="004E0F02">
        <w:rPr>
          <w:rFonts w:eastAsia="Calibri" w:cs="Times New Roman"/>
          <w:szCs w:val="24"/>
          <w:lang w:eastAsia="en-US"/>
        </w:rPr>
        <w:t>projektu niniejszej ustawy</w:t>
      </w:r>
      <w:r w:rsidR="004D6E6B" w:rsidRPr="004E0F02">
        <w:rPr>
          <w:rFonts w:eastAsia="Calibri" w:cs="Times New Roman"/>
          <w:szCs w:val="24"/>
          <w:lang w:eastAsia="en-US"/>
        </w:rPr>
        <w:t xml:space="preserve">. </w:t>
      </w:r>
      <w:r w:rsidR="00E45B1D" w:rsidRPr="004E0F02">
        <w:rPr>
          <w:rFonts w:eastAsia="Calibri" w:cs="Times New Roman"/>
          <w:szCs w:val="24"/>
          <w:lang w:eastAsia="en-US"/>
        </w:rPr>
        <w:t>W </w:t>
      </w:r>
      <w:r w:rsidRPr="004E0F02">
        <w:rPr>
          <w:rFonts w:eastAsia="Calibri" w:cs="Times New Roman"/>
          <w:szCs w:val="24"/>
          <w:lang w:eastAsia="en-US"/>
        </w:rPr>
        <w:t>związku</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tym, katalog podmiotów, </w:t>
      </w:r>
      <w:r w:rsidRPr="004E0F02">
        <w:rPr>
          <w:rFonts w:eastAsia="Times New Roman" w:cs="Times New Roman"/>
          <w:szCs w:val="24"/>
        </w:rPr>
        <w:t xml:space="preserve">które </w:t>
      </w:r>
      <w:r w:rsidR="00F1348C" w:rsidRPr="004E0F02">
        <w:rPr>
          <w:rFonts w:eastAsia="Times New Roman" w:cs="Times New Roman"/>
          <w:szCs w:val="24"/>
        </w:rPr>
        <w:t xml:space="preserve">będą </w:t>
      </w:r>
      <w:r w:rsidRPr="004E0F02">
        <w:rPr>
          <w:rFonts w:eastAsia="Times New Roman" w:cs="Times New Roman"/>
          <w:szCs w:val="24"/>
        </w:rPr>
        <w:t>zobligowane do udostępniania na portalu otwartych danych informacji sektora publicznego (lub metadanych)</w:t>
      </w:r>
      <w:r w:rsidRPr="004E0F02">
        <w:rPr>
          <w:rFonts w:eastAsia="Calibri" w:cs="Times New Roman"/>
          <w:szCs w:val="24"/>
          <w:lang w:eastAsia="en-US"/>
        </w:rPr>
        <w:t xml:space="preserve"> będzie</w:t>
      </w:r>
      <w:r w:rsidR="00E45B1D" w:rsidRPr="004E0F02">
        <w:rPr>
          <w:rFonts w:eastAsia="Calibri" w:cs="Times New Roman"/>
          <w:szCs w:val="24"/>
          <w:lang w:eastAsia="en-US"/>
        </w:rPr>
        <w:t xml:space="preserve"> w </w:t>
      </w:r>
      <w:r w:rsidR="00982300" w:rsidRPr="004E0F02">
        <w:rPr>
          <w:rFonts w:eastAsia="Calibri" w:cs="Times New Roman"/>
          <w:szCs w:val="24"/>
          <w:lang w:eastAsia="en-US"/>
        </w:rPr>
        <w:t xml:space="preserve">zasadniczej części </w:t>
      </w:r>
      <w:r w:rsidRPr="004E0F02">
        <w:rPr>
          <w:rFonts w:eastAsia="Calibri" w:cs="Times New Roman"/>
          <w:szCs w:val="24"/>
          <w:lang w:eastAsia="en-US"/>
        </w:rPr>
        <w:t>tożsamy</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katalogiem </w:t>
      </w:r>
      <w:r w:rsidRPr="004E0F02">
        <w:rPr>
          <w:rFonts w:eastAsia="Times New Roman" w:cs="Times New Roman"/>
          <w:szCs w:val="24"/>
        </w:rPr>
        <w:t>podmiotów zobligowanych do udostępniania lub przekazywania informacji sektora publicznego</w:t>
      </w:r>
      <w:r w:rsidR="00E45B1D" w:rsidRPr="004E0F02">
        <w:rPr>
          <w:rFonts w:eastAsia="Times New Roman" w:cs="Times New Roman"/>
          <w:szCs w:val="24"/>
        </w:rPr>
        <w:t xml:space="preserve"> w </w:t>
      </w:r>
      <w:r w:rsidRPr="004E0F02">
        <w:rPr>
          <w:rFonts w:eastAsia="Times New Roman" w:cs="Times New Roman"/>
          <w:szCs w:val="24"/>
        </w:rPr>
        <w:t>celu ich ponownego wykorzystywania</w:t>
      </w:r>
      <w:r w:rsidRPr="004E0F02">
        <w:rPr>
          <w:rFonts w:eastAsia="Calibri" w:cs="Times New Roman"/>
          <w:szCs w:val="24"/>
          <w:lang w:eastAsia="en-US"/>
        </w:rPr>
        <w:t xml:space="preserve">. Dane będące w posiadaniu ww. podmiotów mają ogromną wartość </w:t>
      </w:r>
      <w:r w:rsidRPr="004E0F02">
        <w:rPr>
          <w:rFonts w:eastAsia="Calibri" w:cs="Times New Roman"/>
          <w:szCs w:val="24"/>
          <w:lang w:eastAsia="en-US"/>
        </w:rPr>
        <w:lastRenderedPageBreak/>
        <w:t xml:space="preserve">informacyjną i mogą stanowić cenne źródło informacji, na bazie których powstaje coraz więcej nowoczesnych produktów. </w:t>
      </w:r>
      <w:r w:rsidRPr="004E0F02">
        <w:rPr>
          <w:rFonts w:eastAsia="Times New Roman" w:cs="Times New Roman"/>
          <w:szCs w:val="24"/>
          <w:lang w:eastAsia="en-US"/>
        </w:rPr>
        <w:t>Portal danych zapewnia szybki dostęp do</w:t>
      </w:r>
      <w:r w:rsidR="00F1348C" w:rsidRPr="004E0F02">
        <w:rPr>
          <w:rFonts w:eastAsia="Times New Roman" w:cs="Times New Roman"/>
          <w:szCs w:val="24"/>
          <w:lang w:eastAsia="en-US"/>
        </w:rPr>
        <w:t> </w:t>
      </w:r>
      <w:r w:rsidRPr="004E0F02">
        <w:rPr>
          <w:rFonts w:eastAsia="Times New Roman" w:cs="Times New Roman"/>
          <w:szCs w:val="24"/>
          <w:lang w:eastAsia="en-US"/>
        </w:rPr>
        <w:t>danych</w:t>
      </w:r>
      <w:r w:rsidR="00ED7A1E" w:rsidRPr="004E0F02">
        <w:rPr>
          <w:rFonts w:eastAsia="Times New Roman" w:cs="Times New Roman"/>
          <w:szCs w:val="24"/>
          <w:lang w:eastAsia="en-US"/>
        </w:rPr>
        <w:t>.</w:t>
      </w:r>
      <w:r w:rsidRPr="004E0F02">
        <w:rPr>
          <w:rFonts w:eastAsia="Times New Roman" w:cs="Times New Roman"/>
          <w:szCs w:val="24"/>
          <w:lang w:eastAsia="en-US"/>
        </w:rPr>
        <w:t xml:space="preserve"> </w:t>
      </w:r>
      <w:r w:rsidR="00ED7A1E" w:rsidRPr="004E0F02">
        <w:rPr>
          <w:rFonts w:eastAsia="Times New Roman" w:cs="Times New Roman"/>
          <w:szCs w:val="24"/>
          <w:lang w:eastAsia="en-US"/>
        </w:rPr>
        <w:t>S</w:t>
      </w:r>
      <w:r w:rsidRPr="004E0F02">
        <w:rPr>
          <w:rFonts w:eastAsia="Times New Roman" w:cs="Times New Roman"/>
          <w:szCs w:val="24"/>
          <w:lang w:eastAsia="en-US"/>
        </w:rPr>
        <w:t xml:space="preserve">tanowić będzie centralny punkt dostępu </w:t>
      </w:r>
      <w:r w:rsidRPr="004E0F02">
        <w:rPr>
          <w:rFonts w:eastAsia="Calibri" w:cs="Times New Roman"/>
          <w:szCs w:val="24"/>
          <w:lang w:eastAsia="en-US"/>
        </w:rPr>
        <w:t>do zasobów będących</w:t>
      </w:r>
      <w:r w:rsidR="00E45B1D" w:rsidRPr="004E0F02">
        <w:rPr>
          <w:rFonts w:eastAsia="Calibri" w:cs="Times New Roman"/>
          <w:szCs w:val="24"/>
          <w:lang w:eastAsia="en-US"/>
        </w:rPr>
        <w:t xml:space="preserve"> w </w:t>
      </w:r>
      <w:r w:rsidRPr="004E0F02">
        <w:rPr>
          <w:rFonts w:eastAsia="Calibri" w:cs="Times New Roman"/>
          <w:szCs w:val="24"/>
          <w:lang w:eastAsia="en-US"/>
        </w:rPr>
        <w:t>posiadaniu nie tylko administracji centralnej</w:t>
      </w:r>
      <w:r w:rsidR="00E45B1D" w:rsidRPr="004E0F02">
        <w:rPr>
          <w:rFonts w:eastAsia="Calibri" w:cs="Times New Roman"/>
          <w:szCs w:val="24"/>
          <w:lang w:eastAsia="en-US"/>
        </w:rPr>
        <w:t xml:space="preserve"> i </w:t>
      </w:r>
      <w:r w:rsidRPr="004E0F02">
        <w:rPr>
          <w:rFonts w:eastAsia="Calibri" w:cs="Times New Roman"/>
          <w:szCs w:val="24"/>
          <w:lang w:eastAsia="en-US"/>
        </w:rPr>
        <w:t>samorządowej, ale również przedsiębior</w:t>
      </w:r>
      <w:r w:rsidR="00ED7A1E" w:rsidRPr="004E0F02">
        <w:rPr>
          <w:rFonts w:eastAsia="Calibri" w:cs="Times New Roman"/>
          <w:szCs w:val="24"/>
          <w:lang w:eastAsia="en-US"/>
        </w:rPr>
        <w:t>stw</w:t>
      </w:r>
      <w:r w:rsidRPr="004E0F02">
        <w:rPr>
          <w:rFonts w:eastAsia="Calibri" w:cs="Times New Roman"/>
          <w:szCs w:val="24"/>
          <w:lang w:eastAsia="en-US"/>
        </w:rPr>
        <w:t xml:space="preserve"> publicznych</w:t>
      </w:r>
      <w:r w:rsidRPr="004E0F02">
        <w:rPr>
          <w:rFonts w:eastAsia="Times New Roman" w:cs="Times New Roman"/>
          <w:szCs w:val="24"/>
          <w:lang w:eastAsia="en-US"/>
        </w:rPr>
        <w:t>,</w:t>
      </w:r>
      <w:r w:rsidR="00ED7A1E" w:rsidRPr="004E0F02">
        <w:rPr>
          <w:rFonts w:eastAsia="Times New Roman" w:cs="Times New Roman"/>
          <w:szCs w:val="24"/>
          <w:lang w:eastAsia="en-US"/>
        </w:rPr>
        <w:t xml:space="preserve"> a</w:t>
      </w:r>
      <w:r w:rsidR="007755B0" w:rsidRPr="004E0F02">
        <w:rPr>
          <w:rFonts w:eastAsia="Times New Roman" w:cs="Times New Roman"/>
          <w:szCs w:val="24"/>
          <w:lang w:eastAsia="en-US"/>
        </w:rPr>
        <w:t> </w:t>
      </w:r>
      <w:r w:rsidR="00ED7A1E" w:rsidRPr="004E0F02">
        <w:rPr>
          <w:rFonts w:eastAsia="Times New Roman" w:cs="Times New Roman"/>
          <w:szCs w:val="24"/>
          <w:lang w:eastAsia="en-US"/>
        </w:rPr>
        <w:t xml:space="preserve">także </w:t>
      </w:r>
      <w:r w:rsidRPr="004E0F02">
        <w:rPr>
          <w:rFonts w:eastAsia="Times New Roman" w:cs="Times New Roman"/>
          <w:szCs w:val="24"/>
          <w:lang w:eastAsia="en-US"/>
        </w:rPr>
        <w:t>podmiotów będących</w:t>
      </w:r>
      <w:r w:rsidR="00E45B1D" w:rsidRPr="004E0F02">
        <w:rPr>
          <w:rFonts w:eastAsia="Times New Roman" w:cs="Times New Roman"/>
          <w:szCs w:val="24"/>
          <w:lang w:eastAsia="en-US"/>
        </w:rPr>
        <w:t xml:space="preserve"> w </w:t>
      </w:r>
      <w:r w:rsidRPr="004E0F02">
        <w:rPr>
          <w:rFonts w:eastAsia="Times New Roman" w:cs="Times New Roman"/>
          <w:szCs w:val="24"/>
          <w:lang w:eastAsia="en-US"/>
        </w:rPr>
        <w:t>posiadaniu danych badawczych (o których mowa</w:t>
      </w:r>
      <w:r w:rsidR="00E45B1D" w:rsidRPr="004E0F02">
        <w:rPr>
          <w:rFonts w:eastAsia="Times New Roman" w:cs="Times New Roman"/>
          <w:szCs w:val="24"/>
          <w:lang w:eastAsia="en-US"/>
        </w:rPr>
        <w:t xml:space="preserve"> w art. </w:t>
      </w:r>
      <w:r w:rsidRPr="004E0F02">
        <w:rPr>
          <w:rFonts w:eastAsia="Times New Roman" w:cs="Times New Roman"/>
          <w:szCs w:val="24"/>
          <w:lang w:eastAsia="en-US"/>
        </w:rPr>
        <w:t>22)</w:t>
      </w:r>
      <w:r w:rsidR="00ED7A1E" w:rsidRPr="004E0F02">
        <w:rPr>
          <w:rFonts w:eastAsia="Times New Roman" w:cs="Times New Roman"/>
          <w:szCs w:val="24"/>
          <w:lang w:eastAsia="en-US"/>
        </w:rPr>
        <w:t>. Dane będą udostępniane</w:t>
      </w:r>
      <w:r w:rsidRPr="004E0F02">
        <w:rPr>
          <w:rFonts w:eastAsia="Times New Roman" w:cs="Times New Roman"/>
          <w:szCs w:val="24"/>
          <w:lang w:eastAsia="en-US"/>
        </w:rPr>
        <w:t xml:space="preserve"> bez potrzeby składania wniosków do urzęd</w:t>
      </w:r>
      <w:r w:rsidR="00ED7A1E" w:rsidRPr="004E0F02">
        <w:rPr>
          <w:rFonts w:eastAsia="Times New Roman" w:cs="Times New Roman"/>
          <w:szCs w:val="24"/>
          <w:lang w:eastAsia="en-US"/>
        </w:rPr>
        <w:t>ów</w:t>
      </w:r>
      <w:r w:rsidRPr="004E0F02">
        <w:rPr>
          <w:rFonts w:eastAsia="Times New Roman" w:cs="Times New Roman"/>
          <w:szCs w:val="24"/>
          <w:lang w:eastAsia="en-US"/>
        </w:rPr>
        <w:t>, bez zbędnych ograniczeń terytorialnych i licencyjnych.</w:t>
      </w:r>
      <w:r w:rsidR="00E45B1D" w:rsidRPr="004E0F02">
        <w:rPr>
          <w:rFonts w:eastAsia="Times New Roman" w:cs="Times New Roman"/>
          <w:szCs w:val="24"/>
          <w:lang w:eastAsia="en-US"/>
        </w:rPr>
        <w:t xml:space="preserve"> W </w:t>
      </w:r>
      <w:r w:rsidRPr="004E0F02">
        <w:rPr>
          <w:rFonts w:eastAsia="Times New Roman" w:cs="Times New Roman"/>
          <w:szCs w:val="24"/>
          <w:lang w:eastAsia="en-US"/>
        </w:rPr>
        <w:t>związku</w:t>
      </w:r>
      <w:r w:rsidR="00E45B1D" w:rsidRPr="004E0F02">
        <w:rPr>
          <w:rFonts w:eastAsia="Times New Roman" w:cs="Times New Roman"/>
          <w:szCs w:val="24"/>
          <w:lang w:eastAsia="en-US"/>
        </w:rPr>
        <w:t xml:space="preserve"> z </w:t>
      </w:r>
      <w:r w:rsidRPr="004E0F02">
        <w:rPr>
          <w:rFonts w:eastAsia="Times New Roman" w:cs="Times New Roman"/>
          <w:szCs w:val="24"/>
          <w:lang w:eastAsia="en-US"/>
        </w:rPr>
        <w:t>powyższym, zmiana przepisów zapewni większy dostęp do</w:t>
      </w:r>
      <w:r w:rsidR="00F1348C" w:rsidRPr="004E0F02">
        <w:rPr>
          <w:rFonts w:eastAsia="Times New Roman" w:cs="Times New Roman"/>
          <w:szCs w:val="24"/>
          <w:lang w:eastAsia="en-US"/>
        </w:rPr>
        <w:t> </w:t>
      </w:r>
      <w:r w:rsidRPr="004E0F02">
        <w:rPr>
          <w:rFonts w:eastAsia="Times New Roman" w:cs="Times New Roman"/>
          <w:szCs w:val="24"/>
          <w:lang w:eastAsia="en-US"/>
        </w:rPr>
        <w:t xml:space="preserve">danych, </w:t>
      </w:r>
      <w:r w:rsidRPr="004E0F02">
        <w:rPr>
          <w:rFonts w:eastAsia="Calibri" w:cs="Times New Roman"/>
          <w:szCs w:val="24"/>
          <w:lang w:eastAsia="en-US"/>
        </w:rPr>
        <w:t>będący</w:t>
      </w:r>
      <w:r w:rsidR="00ED7A1E" w:rsidRPr="004E0F02">
        <w:rPr>
          <w:rFonts w:eastAsia="Calibri" w:cs="Times New Roman"/>
          <w:szCs w:val="24"/>
          <w:lang w:eastAsia="en-US"/>
        </w:rPr>
        <w:t>ch</w:t>
      </w:r>
      <w:r w:rsidRPr="004E0F02">
        <w:rPr>
          <w:rFonts w:eastAsia="Calibri" w:cs="Times New Roman"/>
          <w:szCs w:val="24"/>
          <w:lang w:eastAsia="en-US"/>
        </w:rPr>
        <w:t xml:space="preserve"> jednym</w:t>
      </w:r>
      <w:r w:rsidR="00E45B1D" w:rsidRPr="004E0F02">
        <w:rPr>
          <w:rFonts w:eastAsia="Calibri" w:cs="Times New Roman"/>
          <w:szCs w:val="24"/>
          <w:lang w:eastAsia="en-US"/>
        </w:rPr>
        <w:t xml:space="preserve"> z </w:t>
      </w:r>
      <w:r w:rsidRPr="004E0F02">
        <w:rPr>
          <w:rFonts w:eastAsia="Calibri" w:cs="Times New Roman"/>
          <w:szCs w:val="24"/>
          <w:lang w:eastAsia="en-US"/>
        </w:rPr>
        <w:t>fundamentów innowacji</w:t>
      </w:r>
      <w:r w:rsidR="00ED7A1E" w:rsidRPr="004E0F02">
        <w:rPr>
          <w:rFonts w:eastAsia="Calibri" w:cs="Times New Roman"/>
          <w:szCs w:val="24"/>
          <w:lang w:eastAsia="en-US"/>
        </w:rPr>
        <w:t>, zapewniając jednocześnie możliwość</w:t>
      </w:r>
      <w:r w:rsidRPr="004E0F02">
        <w:rPr>
          <w:rFonts w:eastAsia="Calibri" w:cs="Times New Roman"/>
          <w:szCs w:val="24"/>
          <w:lang w:eastAsia="en-US"/>
        </w:rPr>
        <w:t xml:space="preserve"> </w:t>
      </w:r>
      <w:r w:rsidR="00ED7A1E" w:rsidRPr="004E0F02">
        <w:rPr>
          <w:rFonts w:eastAsia="Calibri" w:cs="Times New Roman"/>
          <w:szCs w:val="24"/>
          <w:lang w:eastAsia="en-US"/>
        </w:rPr>
        <w:t xml:space="preserve">wykorzystania ich pełnego </w:t>
      </w:r>
      <w:r w:rsidRPr="004E0F02">
        <w:rPr>
          <w:rFonts w:eastAsia="Calibri" w:cs="Times New Roman"/>
          <w:szCs w:val="24"/>
          <w:lang w:eastAsia="en-US"/>
        </w:rPr>
        <w:t>potencjał</w:t>
      </w:r>
      <w:r w:rsidR="00ED7A1E" w:rsidRPr="004E0F02">
        <w:rPr>
          <w:rFonts w:eastAsia="Calibri" w:cs="Times New Roman"/>
          <w:szCs w:val="24"/>
          <w:lang w:eastAsia="en-US"/>
        </w:rPr>
        <w:t>u</w:t>
      </w:r>
      <w:r w:rsidR="00E45B1D" w:rsidRPr="004E0F02">
        <w:rPr>
          <w:rFonts w:eastAsia="Calibri" w:cs="Times New Roman"/>
          <w:szCs w:val="24"/>
          <w:lang w:eastAsia="en-US"/>
        </w:rPr>
        <w:t xml:space="preserve"> w </w:t>
      </w:r>
      <w:r w:rsidRPr="004E0F02">
        <w:rPr>
          <w:rFonts w:eastAsia="Calibri" w:cs="Times New Roman"/>
          <w:szCs w:val="24"/>
          <w:lang w:eastAsia="en-US"/>
        </w:rPr>
        <w:t>usługach, aplikacjach, modelach biznesowych</w:t>
      </w:r>
      <w:r w:rsidR="00E45B1D" w:rsidRPr="004E0F02">
        <w:rPr>
          <w:rFonts w:eastAsia="Calibri" w:cs="Times New Roman"/>
          <w:szCs w:val="24"/>
          <w:lang w:eastAsia="en-US"/>
        </w:rPr>
        <w:t xml:space="preserve"> i </w:t>
      </w:r>
      <w:r w:rsidRPr="004E0F02">
        <w:rPr>
          <w:rFonts w:eastAsia="Calibri" w:cs="Times New Roman"/>
          <w:szCs w:val="24"/>
          <w:lang w:eastAsia="en-US"/>
        </w:rPr>
        <w:t>nowych technologiach.</w:t>
      </w:r>
    </w:p>
    <w:p w14:paraId="0109D41F" w14:textId="15169A6B" w:rsidR="00A42682" w:rsidRPr="004E0F02" w:rsidRDefault="00A42682" w:rsidP="00A42682">
      <w:pPr>
        <w:widowControl/>
        <w:tabs>
          <w:tab w:val="left" w:pos="284"/>
        </w:tabs>
        <w:suppressAutoHyphens/>
        <w:spacing w:after="60" w:line="276" w:lineRule="auto"/>
        <w:jc w:val="both"/>
        <w:rPr>
          <w:rFonts w:eastAsia="Times New Roman" w:cs="Times New Roman"/>
          <w:szCs w:val="24"/>
        </w:rPr>
      </w:pPr>
      <w:r w:rsidRPr="004E0F02">
        <w:rPr>
          <w:rFonts w:eastAsia="Times New Roman" w:cs="Times New Roman"/>
          <w:szCs w:val="24"/>
        </w:rPr>
        <w:t>Na podstawie</w:t>
      </w:r>
      <w:r w:rsidR="00E45B1D" w:rsidRPr="004E0F02">
        <w:rPr>
          <w:rFonts w:eastAsia="Times New Roman" w:cs="Times New Roman"/>
          <w:szCs w:val="24"/>
        </w:rPr>
        <w:t xml:space="preserve"> art. </w:t>
      </w:r>
      <w:r w:rsidR="00007841" w:rsidRPr="004E0F02">
        <w:rPr>
          <w:rFonts w:eastAsia="Times New Roman" w:cs="Times New Roman"/>
          <w:szCs w:val="24"/>
        </w:rPr>
        <w:t>35</w:t>
      </w:r>
      <w:r w:rsidR="00E45B1D" w:rsidRPr="004E0F02">
        <w:rPr>
          <w:rFonts w:eastAsia="Times New Roman" w:cs="Times New Roman"/>
          <w:szCs w:val="24"/>
        </w:rPr>
        <w:t> </w:t>
      </w:r>
      <w:r w:rsidRPr="004E0F02">
        <w:rPr>
          <w:rFonts w:eastAsia="Times New Roman" w:cs="Times New Roman"/>
          <w:szCs w:val="24"/>
        </w:rPr>
        <w:t xml:space="preserve">ust 5. ustawodawca wprowadził dodatkowy nieobligatoryjny warunek publikowania informacji sektora publicznego </w:t>
      </w:r>
      <w:r w:rsidR="00ED7A1E" w:rsidRPr="004E0F02">
        <w:rPr>
          <w:rFonts w:eastAsia="Times New Roman" w:cs="Times New Roman"/>
          <w:szCs w:val="24"/>
        </w:rPr>
        <w:t xml:space="preserve">na portalu </w:t>
      </w:r>
      <w:r w:rsidRPr="004E0F02">
        <w:rPr>
          <w:rFonts w:eastAsia="Times New Roman" w:cs="Times New Roman"/>
          <w:szCs w:val="24"/>
        </w:rPr>
        <w:t xml:space="preserve">jako otwartych danych, tj. utrwalonych w postaci elektronicznej, udostępnione w otwartym formacie do ponownego wykorzystywania, </w:t>
      </w:r>
      <w:r w:rsidRPr="004E0F02">
        <w:rPr>
          <w:rFonts w:eastAsia="Times New Roman" w:cs="Times New Roman"/>
          <w:bCs/>
          <w:szCs w:val="24"/>
        </w:rPr>
        <w:t>Definicja otwartych danych zdefiniowana została</w:t>
      </w:r>
      <w:r w:rsidR="00E45B1D" w:rsidRPr="004E0F02">
        <w:rPr>
          <w:rFonts w:eastAsia="Times New Roman" w:cs="Times New Roman"/>
          <w:bCs/>
          <w:szCs w:val="24"/>
        </w:rPr>
        <w:t xml:space="preserve"> w art. 2 pkt </w:t>
      </w:r>
      <w:r w:rsidRPr="004E0F02">
        <w:rPr>
          <w:rFonts w:eastAsia="Times New Roman" w:cs="Times New Roman"/>
          <w:bCs/>
          <w:szCs w:val="24"/>
        </w:rPr>
        <w:t>11. Praktyka pokazuje, że ustanowienie przepisów prawnych regulujących zasady otwartości danych przyczyni się do zwiększenia pewności obrotu danymi do ich ponownego wykorzystywania, zarówno po stronie udostępniającego, jak i</w:t>
      </w:r>
      <w:r w:rsidR="00ED7A1E" w:rsidRPr="004E0F02">
        <w:rPr>
          <w:rFonts w:eastAsia="Times New Roman" w:cs="Times New Roman"/>
          <w:bCs/>
          <w:szCs w:val="24"/>
        </w:rPr>
        <w:t> </w:t>
      </w:r>
      <w:r w:rsidRPr="004E0F02">
        <w:rPr>
          <w:rFonts w:eastAsia="Times New Roman" w:cs="Times New Roman"/>
          <w:bCs/>
          <w:szCs w:val="24"/>
        </w:rPr>
        <w:t>korzystającego</w:t>
      </w:r>
      <w:r w:rsidR="00E45B1D" w:rsidRPr="004E0F02">
        <w:rPr>
          <w:rFonts w:eastAsia="Times New Roman" w:cs="Times New Roman"/>
          <w:bCs/>
          <w:szCs w:val="24"/>
        </w:rPr>
        <w:t xml:space="preserve"> z </w:t>
      </w:r>
      <w:r w:rsidRPr="004E0F02">
        <w:rPr>
          <w:rFonts w:eastAsia="Times New Roman" w:cs="Times New Roman"/>
          <w:bCs/>
          <w:szCs w:val="24"/>
        </w:rPr>
        <w:t>danych. Otwartość danych pozwala na swobodny dostęp do danych</w:t>
      </w:r>
      <w:r w:rsidR="00E45B1D" w:rsidRPr="004E0F02">
        <w:rPr>
          <w:rFonts w:eastAsia="Times New Roman" w:cs="Times New Roman"/>
          <w:bCs/>
          <w:szCs w:val="24"/>
        </w:rPr>
        <w:t xml:space="preserve"> </w:t>
      </w:r>
      <w:r w:rsidR="00E45B1D" w:rsidRPr="004E0F02">
        <w:rPr>
          <w:rFonts w:eastAsia="Times New Roman" w:cs="Times New Roman"/>
          <w:szCs w:val="24"/>
        </w:rPr>
        <w:t>i</w:t>
      </w:r>
      <w:r w:rsidR="00E45B1D" w:rsidRPr="004E0F02">
        <w:rPr>
          <w:rFonts w:eastAsia="Times New Roman" w:cs="Times New Roman"/>
          <w:bCs/>
          <w:szCs w:val="24"/>
        </w:rPr>
        <w:t> </w:t>
      </w:r>
      <w:r w:rsidRPr="004E0F02">
        <w:rPr>
          <w:rFonts w:eastAsia="Times New Roman" w:cs="Times New Roman"/>
          <w:szCs w:val="24"/>
        </w:rPr>
        <w:t>ich ponowne wykorzystywanie.</w:t>
      </w:r>
      <w:r w:rsidR="00E45B1D" w:rsidRPr="004E0F02">
        <w:rPr>
          <w:rFonts w:eastAsia="Times New Roman" w:cs="Times New Roman"/>
          <w:szCs w:val="24"/>
        </w:rPr>
        <w:t xml:space="preserve"> W </w:t>
      </w:r>
      <w:r w:rsidRPr="004E0F02">
        <w:rPr>
          <w:rFonts w:eastAsia="Times New Roman" w:cs="Times New Roman"/>
          <w:szCs w:val="24"/>
        </w:rPr>
        <w:t>tym zakresie istotne są kwestie licencjonowania oraz ochrony praw autorskich. Aspekt prawny jest ściśle i nierozerwalnie związany</w:t>
      </w:r>
      <w:r w:rsidR="00E45B1D" w:rsidRPr="004E0F02">
        <w:rPr>
          <w:rFonts w:eastAsia="Times New Roman" w:cs="Times New Roman"/>
          <w:szCs w:val="24"/>
        </w:rPr>
        <w:t xml:space="preserve"> z </w:t>
      </w:r>
      <w:r w:rsidRPr="004E0F02">
        <w:rPr>
          <w:rFonts w:eastAsia="Times New Roman" w:cs="Times New Roman"/>
          <w:szCs w:val="24"/>
        </w:rPr>
        <w:t>aspektem technicznym</w:t>
      </w:r>
      <w:r w:rsidR="00E45B1D" w:rsidRPr="004E0F02">
        <w:rPr>
          <w:rFonts w:eastAsia="Times New Roman" w:cs="Times New Roman"/>
          <w:szCs w:val="24"/>
        </w:rPr>
        <w:t xml:space="preserve"> i </w:t>
      </w:r>
      <w:r w:rsidRPr="004E0F02">
        <w:rPr>
          <w:rFonts w:eastAsia="Times New Roman" w:cs="Times New Roman"/>
          <w:szCs w:val="24"/>
        </w:rPr>
        <w:t>finansowym. Od strony technicznej otwartość polega na przygotowaniu</w:t>
      </w:r>
      <w:r w:rsidR="00E45B1D" w:rsidRPr="004E0F02">
        <w:rPr>
          <w:rFonts w:eastAsia="Times New Roman" w:cs="Times New Roman"/>
          <w:szCs w:val="24"/>
        </w:rPr>
        <w:t xml:space="preserve"> i </w:t>
      </w:r>
      <w:r w:rsidRPr="004E0F02">
        <w:rPr>
          <w:rFonts w:eastAsia="Times New Roman" w:cs="Times New Roman"/>
          <w:szCs w:val="24"/>
        </w:rPr>
        <w:t>udostępnianiu danych</w:t>
      </w:r>
      <w:r w:rsidR="00E45B1D" w:rsidRPr="004E0F02">
        <w:rPr>
          <w:rFonts w:eastAsia="Times New Roman" w:cs="Times New Roman"/>
          <w:szCs w:val="24"/>
        </w:rPr>
        <w:t xml:space="preserve"> w </w:t>
      </w:r>
      <w:r w:rsidRPr="004E0F02">
        <w:rPr>
          <w:rFonts w:eastAsia="Times New Roman" w:cs="Times New Roman"/>
          <w:szCs w:val="24"/>
        </w:rPr>
        <w:t>sposób dający wszystkim użytkownikom takie same możliwości skorzystania</w:t>
      </w:r>
      <w:r w:rsidR="00E45B1D" w:rsidRPr="004E0F02">
        <w:rPr>
          <w:rFonts w:eastAsia="Times New Roman" w:cs="Times New Roman"/>
          <w:szCs w:val="24"/>
        </w:rPr>
        <w:t xml:space="preserve"> z </w:t>
      </w:r>
      <w:r w:rsidRPr="004E0F02">
        <w:rPr>
          <w:rFonts w:eastAsia="Times New Roman" w:cs="Times New Roman"/>
          <w:szCs w:val="24"/>
        </w:rPr>
        <w:t>nich, niezależnie od posiadanej</w:t>
      </w:r>
      <w:r w:rsidR="00E45B1D" w:rsidRPr="004E0F02">
        <w:rPr>
          <w:rFonts w:eastAsia="Times New Roman" w:cs="Times New Roman"/>
          <w:szCs w:val="24"/>
        </w:rPr>
        <w:t xml:space="preserve"> i </w:t>
      </w:r>
      <w:r w:rsidRPr="004E0F02">
        <w:rPr>
          <w:rFonts w:eastAsia="Times New Roman" w:cs="Times New Roman"/>
          <w:szCs w:val="24"/>
        </w:rPr>
        <w:t>używanej przez nich technologii. Równie istotny jest aspekt finansowy, który sprowadza się do</w:t>
      </w:r>
      <w:r w:rsidR="00ED7A1E" w:rsidRPr="004E0F02">
        <w:rPr>
          <w:rFonts w:eastAsia="Times New Roman" w:cs="Times New Roman"/>
          <w:szCs w:val="24"/>
        </w:rPr>
        <w:t xml:space="preserve"> </w:t>
      </w:r>
      <w:r w:rsidRPr="004E0F02">
        <w:rPr>
          <w:rFonts w:eastAsia="Times New Roman" w:cs="Times New Roman"/>
          <w:szCs w:val="24"/>
        </w:rPr>
        <w:t xml:space="preserve">nieodpłatnego udostępniania danych. </w:t>
      </w:r>
      <w:r w:rsidRPr="004E0F02">
        <w:rPr>
          <w:rFonts w:eastAsia="Times New Roman" w:cs="Times New Roman"/>
          <w:bCs/>
          <w:szCs w:val="24"/>
        </w:rPr>
        <w:t xml:space="preserve">Podmioty </w:t>
      </w:r>
      <w:r w:rsidR="00D84485" w:rsidRPr="004E0F02">
        <w:rPr>
          <w:rFonts w:eastAsia="Times New Roman" w:cs="Times New Roman"/>
          <w:bCs/>
          <w:szCs w:val="24"/>
        </w:rPr>
        <w:t xml:space="preserve">powinny </w:t>
      </w:r>
      <w:r w:rsidRPr="004E0F02">
        <w:rPr>
          <w:rFonts w:eastAsia="Times New Roman" w:cs="Times New Roman"/>
          <w:bCs/>
          <w:szCs w:val="24"/>
        </w:rPr>
        <w:t>udostępnia</w:t>
      </w:r>
      <w:r w:rsidR="00D84485" w:rsidRPr="004E0F02">
        <w:rPr>
          <w:rFonts w:eastAsia="Times New Roman" w:cs="Times New Roman"/>
          <w:bCs/>
          <w:szCs w:val="24"/>
        </w:rPr>
        <w:t>ć</w:t>
      </w:r>
      <w:r w:rsidRPr="004E0F02">
        <w:rPr>
          <w:rFonts w:eastAsia="Times New Roman" w:cs="Times New Roman"/>
          <w:bCs/>
          <w:szCs w:val="24"/>
        </w:rPr>
        <w:t xml:space="preserve"> dane</w:t>
      </w:r>
      <w:r w:rsidR="00E45B1D" w:rsidRPr="004E0F02">
        <w:rPr>
          <w:rFonts w:eastAsia="Times New Roman" w:cs="Times New Roman"/>
          <w:bCs/>
          <w:szCs w:val="24"/>
        </w:rPr>
        <w:t xml:space="preserve"> w </w:t>
      </w:r>
      <w:r w:rsidRPr="004E0F02">
        <w:rPr>
          <w:rFonts w:eastAsia="Times New Roman" w:cs="Times New Roman"/>
          <w:bCs/>
          <w:szCs w:val="24"/>
        </w:rPr>
        <w:t xml:space="preserve">sposób użyteczny dla użytkownika (każdej osobie fizycznej, prawnej i jednostce organizacyjnej nieposiadającej osobowości prawnej), </w:t>
      </w:r>
      <w:r w:rsidR="00D84485" w:rsidRPr="004E0F02">
        <w:rPr>
          <w:rFonts w:eastAsia="Times New Roman" w:cs="Times New Roman"/>
          <w:bCs/>
          <w:szCs w:val="24"/>
        </w:rPr>
        <w:t>tj.</w:t>
      </w:r>
      <w:r w:rsidR="00E45B1D" w:rsidRPr="004E0F02">
        <w:rPr>
          <w:rFonts w:eastAsia="Times New Roman" w:cs="Times New Roman"/>
          <w:bCs/>
          <w:szCs w:val="24"/>
        </w:rPr>
        <w:t xml:space="preserve"> w </w:t>
      </w:r>
      <w:r w:rsidR="00D84485" w:rsidRPr="004E0F02">
        <w:rPr>
          <w:rFonts w:eastAsia="Times New Roman" w:cs="Times New Roman"/>
          <w:bCs/>
          <w:szCs w:val="24"/>
        </w:rPr>
        <w:t xml:space="preserve">taki sposób, </w:t>
      </w:r>
      <w:r w:rsidRPr="004E0F02">
        <w:rPr>
          <w:rFonts w:eastAsia="Times New Roman" w:cs="Times New Roman"/>
          <w:bCs/>
          <w:szCs w:val="24"/>
        </w:rPr>
        <w:t>aby ten mógł wykorzystywać dane do dowolnych celów</w:t>
      </w:r>
      <w:r w:rsidR="00D84485" w:rsidRPr="004E0F02">
        <w:rPr>
          <w:rFonts w:eastAsia="Times New Roman" w:cs="Times New Roman"/>
          <w:bCs/>
          <w:szCs w:val="24"/>
        </w:rPr>
        <w:t>,</w:t>
      </w:r>
      <w:r w:rsidRPr="004E0F02">
        <w:rPr>
          <w:rFonts w:eastAsia="Times New Roman" w:cs="Times New Roman"/>
          <w:bCs/>
          <w:szCs w:val="24"/>
        </w:rPr>
        <w:t xml:space="preserve"> </w:t>
      </w:r>
      <w:r w:rsidR="00D84485" w:rsidRPr="004E0F02">
        <w:rPr>
          <w:rFonts w:eastAsia="Times New Roman" w:cs="Times New Roman"/>
          <w:bCs/>
          <w:szCs w:val="24"/>
        </w:rPr>
        <w:t>bez obaw</w:t>
      </w:r>
      <w:r w:rsidR="00E45B1D" w:rsidRPr="004E0F02">
        <w:rPr>
          <w:rFonts w:eastAsia="Times New Roman" w:cs="Times New Roman"/>
          <w:bCs/>
          <w:szCs w:val="24"/>
        </w:rPr>
        <w:t xml:space="preserve"> o </w:t>
      </w:r>
      <w:r w:rsidRPr="004E0F02">
        <w:rPr>
          <w:rFonts w:eastAsia="Times New Roman" w:cs="Times New Roman"/>
          <w:bCs/>
          <w:szCs w:val="24"/>
        </w:rPr>
        <w:t>narusz</w:t>
      </w:r>
      <w:r w:rsidR="00D84485" w:rsidRPr="004E0F02">
        <w:rPr>
          <w:rFonts w:eastAsia="Times New Roman" w:cs="Times New Roman"/>
          <w:bCs/>
          <w:szCs w:val="24"/>
        </w:rPr>
        <w:t>enie</w:t>
      </w:r>
      <w:r w:rsidRPr="004E0F02">
        <w:rPr>
          <w:rFonts w:eastAsia="Times New Roman" w:cs="Times New Roman"/>
          <w:bCs/>
          <w:szCs w:val="24"/>
        </w:rPr>
        <w:t xml:space="preserve"> jaki</w:t>
      </w:r>
      <w:r w:rsidR="00D84485" w:rsidRPr="004E0F02">
        <w:rPr>
          <w:rFonts w:eastAsia="Times New Roman" w:cs="Times New Roman"/>
          <w:bCs/>
          <w:szCs w:val="24"/>
        </w:rPr>
        <w:t>ch</w:t>
      </w:r>
      <w:r w:rsidRPr="004E0F02">
        <w:rPr>
          <w:rFonts w:eastAsia="Times New Roman" w:cs="Times New Roman"/>
          <w:bCs/>
          <w:szCs w:val="24"/>
        </w:rPr>
        <w:t>kolwiek praw innych osób. Dla użytkownika oznaczałoby to wyeliminowanie barier</w:t>
      </w:r>
      <w:r w:rsidR="00E45B1D" w:rsidRPr="004E0F02">
        <w:rPr>
          <w:rFonts w:eastAsia="Times New Roman" w:cs="Times New Roman"/>
          <w:bCs/>
          <w:szCs w:val="24"/>
        </w:rPr>
        <w:t xml:space="preserve"> i </w:t>
      </w:r>
      <w:r w:rsidRPr="004E0F02">
        <w:rPr>
          <w:rFonts w:eastAsia="Times New Roman" w:cs="Times New Roman"/>
          <w:bCs/>
          <w:szCs w:val="24"/>
        </w:rPr>
        <w:t>pewność prawną</w:t>
      </w:r>
      <w:r w:rsidR="00E45B1D" w:rsidRPr="004E0F02">
        <w:rPr>
          <w:rFonts w:eastAsia="Times New Roman" w:cs="Times New Roman"/>
          <w:bCs/>
          <w:szCs w:val="24"/>
        </w:rPr>
        <w:t xml:space="preserve"> w </w:t>
      </w:r>
      <w:r w:rsidRPr="004E0F02">
        <w:rPr>
          <w:rFonts w:eastAsia="Times New Roman" w:cs="Times New Roman"/>
          <w:bCs/>
          <w:szCs w:val="24"/>
        </w:rPr>
        <w:t>dalszej eksploatacji danych publicznych. Mając na względzie powyższe istotnym jest aby informacje sektora publicznego spełniały cechy otwartości danych.</w:t>
      </w:r>
    </w:p>
    <w:p w14:paraId="711B4F3F" w14:textId="1F2EC20E" w:rsidR="00A42682" w:rsidRPr="004E0F02" w:rsidRDefault="00A42682" w:rsidP="00A42682">
      <w:pPr>
        <w:widowControl/>
        <w:suppressAutoHyphens/>
        <w:spacing w:after="60" w:line="276" w:lineRule="auto"/>
        <w:jc w:val="both"/>
        <w:rPr>
          <w:rFonts w:eastAsia="Times New Roman" w:cs="Times New Roman"/>
          <w:szCs w:val="24"/>
        </w:rPr>
      </w:pPr>
      <w:r w:rsidRPr="004E0F02">
        <w:rPr>
          <w:rFonts w:eastAsia="Times New Roman" w:cs="Times New Roman"/>
          <w:szCs w:val="24"/>
        </w:rPr>
        <w:t>Projektodawca zdecydował się na uchylenie przepisów upoważniających do obligatoryjnego wydania rozporządzenia,</w:t>
      </w:r>
      <w:r w:rsidR="00E45B1D" w:rsidRPr="004E0F02">
        <w:rPr>
          <w:rFonts w:eastAsia="Times New Roman" w:cs="Times New Roman"/>
          <w:szCs w:val="24"/>
        </w:rPr>
        <w:t xml:space="preserve"> o </w:t>
      </w:r>
      <w:r w:rsidRPr="004E0F02">
        <w:rPr>
          <w:rFonts w:eastAsia="Times New Roman" w:cs="Times New Roman"/>
          <w:szCs w:val="24"/>
        </w:rPr>
        <w:t>którym mowa</w:t>
      </w:r>
      <w:r w:rsidR="00E45B1D" w:rsidRPr="004E0F02">
        <w:rPr>
          <w:rFonts w:eastAsia="Times New Roman" w:cs="Times New Roman"/>
          <w:szCs w:val="24"/>
        </w:rPr>
        <w:t xml:space="preserve"> w art. </w:t>
      </w:r>
      <w:r w:rsidRPr="004E0F02">
        <w:rPr>
          <w:rFonts w:eastAsia="Times New Roman" w:cs="Times New Roman"/>
          <w:szCs w:val="24"/>
        </w:rPr>
        <w:t>9a</w:t>
      </w:r>
      <w:r w:rsidR="00E45B1D" w:rsidRPr="004E0F02">
        <w:rPr>
          <w:rFonts w:eastAsia="Times New Roman" w:cs="Times New Roman"/>
          <w:szCs w:val="24"/>
        </w:rPr>
        <w:t xml:space="preserve"> ust. 3 </w:t>
      </w:r>
      <w:r w:rsidRPr="004E0F02">
        <w:rPr>
          <w:rFonts w:eastAsia="Times New Roman" w:cs="Times New Roman"/>
          <w:szCs w:val="24"/>
        </w:rPr>
        <w:t>ustawy o dostępie do informacji publicznej, na podstawie którego wydano rozporządzenie Ministra Cyfryzacji</w:t>
      </w:r>
      <w:r w:rsidR="00E45B1D" w:rsidRPr="004E0F02">
        <w:rPr>
          <w:rFonts w:eastAsia="Times New Roman" w:cs="Times New Roman"/>
          <w:szCs w:val="24"/>
        </w:rPr>
        <w:t xml:space="preserve"> w </w:t>
      </w:r>
      <w:r w:rsidRPr="004E0F02">
        <w:rPr>
          <w:rFonts w:eastAsia="Times New Roman" w:cs="Times New Roman"/>
          <w:szCs w:val="24"/>
        </w:rPr>
        <w:t>sprawie zasobu informacyjnego przeznaczonego do udostępniania</w:t>
      </w:r>
      <w:r w:rsidR="00E45B1D" w:rsidRPr="004E0F02">
        <w:rPr>
          <w:rFonts w:eastAsia="Times New Roman" w:cs="Times New Roman"/>
          <w:szCs w:val="24"/>
        </w:rPr>
        <w:t xml:space="preserve"> w </w:t>
      </w:r>
      <w:r w:rsidRPr="004E0F02">
        <w:rPr>
          <w:rFonts w:eastAsia="Times New Roman" w:cs="Times New Roman"/>
          <w:szCs w:val="24"/>
        </w:rPr>
        <w:t>centralnym repozytorium informacji publicznej.</w:t>
      </w:r>
      <w:r w:rsidR="00E45B1D" w:rsidRPr="004E0F02">
        <w:rPr>
          <w:rFonts w:eastAsia="Times New Roman" w:cs="Times New Roman"/>
          <w:szCs w:val="24"/>
        </w:rPr>
        <w:t xml:space="preserve"> W </w:t>
      </w:r>
      <w:r w:rsidR="00D84485" w:rsidRPr="004E0F02">
        <w:rPr>
          <w:rFonts w:eastAsia="Times New Roman" w:cs="Times New Roman"/>
          <w:szCs w:val="24"/>
        </w:rPr>
        <w:t xml:space="preserve">projekcie ustawy </w:t>
      </w:r>
      <w:r w:rsidRPr="004E0F02">
        <w:rPr>
          <w:rFonts w:eastAsia="Times New Roman" w:cs="Times New Roman"/>
          <w:szCs w:val="24"/>
        </w:rPr>
        <w:t>przewidzia</w:t>
      </w:r>
      <w:r w:rsidR="00D84485" w:rsidRPr="004E0F02">
        <w:rPr>
          <w:rFonts w:eastAsia="Times New Roman" w:cs="Times New Roman"/>
          <w:szCs w:val="24"/>
        </w:rPr>
        <w:t>no</w:t>
      </w:r>
      <w:r w:rsidRPr="004E0F02">
        <w:rPr>
          <w:rFonts w:eastAsia="Times New Roman" w:cs="Times New Roman"/>
          <w:szCs w:val="24"/>
        </w:rPr>
        <w:t xml:space="preserve"> jedynie możliwość fakultatywnego wydania ww. rozporządzenia, m.in. na wypadek nieprzewidzianych</w:t>
      </w:r>
      <w:r w:rsidR="00E45B1D" w:rsidRPr="004E0F02">
        <w:rPr>
          <w:rFonts w:eastAsia="Times New Roman" w:cs="Times New Roman"/>
          <w:szCs w:val="24"/>
        </w:rPr>
        <w:t xml:space="preserve"> i </w:t>
      </w:r>
      <w:r w:rsidRPr="004E0F02">
        <w:rPr>
          <w:rFonts w:eastAsia="Times New Roman" w:cs="Times New Roman"/>
          <w:szCs w:val="24"/>
        </w:rPr>
        <w:t>nadzwyczajnych sytuacji takich jak epidemia COVID</w:t>
      </w:r>
      <w:r w:rsidR="00E45B1D" w:rsidRPr="004E0F02">
        <w:rPr>
          <w:rFonts w:eastAsia="Times New Roman" w:cs="Times New Roman"/>
          <w:szCs w:val="24"/>
        </w:rPr>
        <w:softHyphen/>
      </w:r>
      <w:r w:rsidR="00E45B1D" w:rsidRPr="004E0F02">
        <w:rPr>
          <w:rFonts w:eastAsia="Times New Roman" w:cs="Times New Roman"/>
          <w:szCs w:val="24"/>
        </w:rPr>
        <w:noBreakHyphen/>
      </w:r>
      <w:r w:rsidRPr="004E0F02">
        <w:rPr>
          <w:rFonts w:eastAsia="Times New Roman" w:cs="Times New Roman"/>
          <w:szCs w:val="24"/>
        </w:rPr>
        <w:t>1</w:t>
      </w:r>
      <w:r w:rsidR="00E45B1D" w:rsidRPr="004E0F02">
        <w:rPr>
          <w:rFonts w:eastAsia="Times New Roman" w:cs="Times New Roman"/>
          <w:szCs w:val="24"/>
        </w:rPr>
        <w:t>9 </w:t>
      </w:r>
      <w:r w:rsidR="00D84485" w:rsidRPr="004E0F02">
        <w:rPr>
          <w:rFonts w:eastAsia="Times New Roman" w:cs="Times New Roman"/>
          <w:szCs w:val="24"/>
        </w:rPr>
        <w:t>(</w:t>
      </w:r>
      <w:r w:rsidRPr="004E0F02">
        <w:rPr>
          <w:rFonts w:eastAsia="Times New Roman" w:cs="Times New Roman"/>
          <w:szCs w:val="24"/>
        </w:rPr>
        <w:t>art. 3</w:t>
      </w:r>
      <w:r w:rsidR="00007841" w:rsidRPr="004E0F02">
        <w:rPr>
          <w:rFonts w:eastAsia="Times New Roman" w:cs="Times New Roman"/>
          <w:szCs w:val="24"/>
        </w:rPr>
        <w:t>6</w:t>
      </w:r>
      <w:r w:rsidR="00E45B1D" w:rsidRPr="004E0F02">
        <w:rPr>
          <w:rFonts w:eastAsia="Times New Roman" w:cs="Times New Roman"/>
          <w:szCs w:val="24"/>
        </w:rPr>
        <w:t> </w:t>
      </w:r>
      <w:r w:rsidRPr="004E0F02">
        <w:rPr>
          <w:rFonts w:eastAsia="Times New Roman" w:cs="Times New Roman"/>
          <w:szCs w:val="24"/>
        </w:rPr>
        <w:t>projektu ustawy</w:t>
      </w:r>
      <w:r w:rsidR="00D84485" w:rsidRPr="004E0F02">
        <w:rPr>
          <w:rFonts w:eastAsia="Times New Roman" w:cs="Times New Roman"/>
          <w:szCs w:val="24"/>
        </w:rPr>
        <w:t>)</w:t>
      </w:r>
      <w:r w:rsidRPr="004E0F02">
        <w:rPr>
          <w:rFonts w:eastAsia="Times New Roman" w:cs="Times New Roman"/>
          <w:szCs w:val="24"/>
        </w:rPr>
        <w:t>.</w:t>
      </w:r>
    </w:p>
    <w:p w14:paraId="3FBC279D" w14:textId="116A500A" w:rsidR="00A42682" w:rsidRPr="004E0F02" w:rsidRDefault="00A42682" w:rsidP="00A42682">
      <w:pPr>
        <w:widowControl/>
        <w:suppressAutoHyphens/>
        <w:spacing w:after="60" w:line="276" w:lineRule="auto"/>
        <w:jc w:val="both"/>
        <w:rPr>
          <w:rFonts w:eastAsia="Times New Roman" w:cs="Times New Roman"/>
          <w:szCs w:val="24"/>
        </w:rPr>
      </w:pPr>
      <w:r w:rsidRPr="004E0F02">
        <w:rPr>
          <w:rFonts w:eastAsia="Times New Roman" w:cs="Times New Roman"/>
          <w:szCs w:val="24"/>
        </w:rPr>
        <w:t xml:space="preserve">Jednakże jako obligatoryjne narzędzie zastępcze zaprojektowano wprowadzenie do Programu Otwierania Danych </w:t>
      </w:r>
      <w:r w:rsidR="00D84485" w:rsidRPr="004E0F02">
        <w:rPr>
          <w:rFonts w:eastAsia="Times New Roman" w:cs="Times New Roman"/>
          <w:szCs w:val="24"/>
        </w:rPr>
        <w:t>(</w:t>
      </w:r>
      <w:r w:rsidRPr="004E0F02">
        <w:rPr>
          <w:rFonts w:eastAsia="Times New Roman" w:cs="Times New Roman"/>
          <w:szCs w:val="24"/>
        </w:rPr>
        <w:t>art. 3</w:t>
      </w:r>
      <w:r w:rsidR="003D6618" w:rsidRPr="004E0F02">
        <w:rPr>
          <w:rFonts w:eastAsia="Times New Roman" w:cs="Times New Roman"/>
          <w:szCs w:val="24"/>
        </w:rPr>
        <w:t>3 ust. 3</w:t>
      </w:r>
      <w:r w:rsidR="00D84485" w:rsidRPr="004E0F02">
        <w:rPr>
          <w:rFonts w:eastAsia="Times New Roman" w:cs="Times New Roman"/>
          <w:szCs w:val="24"/>
        </w:rPr>
        <w:t>projektu ustawy)</w:t>
      </w:r>
      <w:r w:rsidRPr="004E0F02">
        <w:rPr>
          <w:rFonts w:eastAsia="Times New Roman" w:cs="Times New Roman"/>
          <w:szCs w:val="24"/>
        </w:rPr>
        <w:t xml:space="preserve"> obowiąz</w:t>
      </w:r>
      <w:r w:rsidR="003E00E7" w:rsidRPr="004E0F02">
        <w:rPr>
          <w:rFonts w:eastAsia="Times New Roman" w:cs="Times New Roman"/>
          <w:szCs w:val="24"/>
        </w:rPr>
        <w:t>ek</w:t>
      </w:r>
      <w:r w:rsidR="00B60F61" w:rsidRPr="004E0F02">
        <w:rPr>
          <w:rFonts w:eastAsia="Times New Roman" w:cs="Times New Roman"/>
          <w:szCs w:val="24"/>
        </w:rPr>
        <w:t>u</w:t>
      </w:r>
      <w:r w:rsidRPr="004E0F02">
        <w:rPr>
          <w:rFonts w:eastAsia="Times New Roman" w:cs="Times New Roman"/>
          <w:szCs w:val="24"/>
        </w:rPr>
        <w:t xml:space="preserve"> przygotowywania przez Pełnomocników ds. otwartości danych, harmonogramów udostępniania nowych informacji sektora publicznego na portalu. Rozwiązanie to jest obecnie stosowane</w:t>
      </w:r>
      <w:r w:rsidR="00E45B1D" w:rsidRPr="004E0F02">
        <w:rPr>
          <w:rFonts w:eastAsia="Times New Roman" w:cs="Times New Roman"/>
          <w:szCs w:val="24"/>
        </w:rPr>
        <w:t xml:space="preserve"> w </w:t>
      </w:r>
      <w:r w:rsidRPr="004E0F02">
        <w:rPr>
          <w:rFonts w:eastAsia="Times New Roman" w:cs="Times New Roman"/>
          <w:szCs w:val="24"/>
        </w:rPr>
        <w:t>ramach Programu Otwierana Danych Publicznych (na lata 201</w:t>
      </w:r>
      <w:r w:rsidR="00E45B1D" w:rsidRPr="004E0F02">
        <w:rPr>
          <w:rFonts w:eastAsia="Times New Roman" w:cs="Times New Roman"/>
          <w:szCs w:val="24"/>
        </w:rPr>
        <w:t>6</w:t>
      </w:r>
      <w:r w:rsidR="00E45B1D" w:rsidRPr="004E0F02">
        <w:rPr>
          <w:rFonts w:eastAsia="Times New Roman" w:cs="Times New Roman"/>
          <w:szCs w:val="24"/>
        </w:rPr>
        <w:noBreakHyphen/>
      </w:r>
      <w:r w:rsidRPr="004E0F02">
        <w:rPr>
          <w:rFonts w:eastAsia="Times New Roman" w:cs="Times New Roman"/>
          <w:szCs w:val="24"/>
        </w:rPr>
        <w:t>2020)</w:t>
      </w:r>
      <w:r w:rsidR="00E45B1D" w:rsidRPr="004E0F02">
        <w:rPr>
          <w:rFonts w:eastAsia="Times New Roman" w:cs="Times New Roman"/>
          <w:szCs w:val="24"/>
        </w:rPr>
        <w:t xml:space="preserve"> i </w:t>
      </w:r>
      <w:r w:rsidRPr="004E0F02">
        <w:rPr>
          <w:rFonts w:eastAsia="Times New Roman" w:cs="Times New Roman"/>
          <w:szCs w:val="24"/>
        </w:rPr>
        <w:t>zostało</w:t>
      </w:r>
      <w:r w:rsidR="00E45B1D" w:rsidRPr="004E0F02">
        <w:rPr>
          <w:rFonts w:eastAsia="Times New Roman" w:cs="Times New Roman"/>
          <w:szCs w:val="24"/>
        </w:rPr>
        <w:t xml:space="preserve"> z </w:t>
      </w:r>
      <w:r w:rsidRPr="004E0F02">
        <w:rPr>
          <w:rFonts w:eastAsia="Times New Roman" w:cs="Times New Roman"/>
          <w:szCs w:val="24"/>
        </w:rPr>
        <w:t xml:space="preserve">powodzeniem wdrożone. </w:t>
      </w:r>
      <w:r w:rsidRPr="004E0F02">
        <w:rPr>
          <w:rFonts w:eastAsia="Times New Roman" w:cs="Times New Roman"/>
          <w:szCs w:val="24"/>
        </w:rPr>
        <w:lastRenderedPageBreak/>
        <w:t>Harmonogramy otwierania danych są przygotowywane dwa razy</w:t>
      </w:r>
      <w:r w:rsidR="00E45B1D" w:rsidRPr="004E0F02">
        <w:rPr>
          <w:rFonts w:eastAsia="Times New Roman" w:cs="Times New Roman"/>
          <w:szCs w:val="24"/>
        </w:rPr>
        <w:t xml:space="preserve"> w </w:t>
      </w:r>
      <w:r w:rsidRPr="004E0F02">
        <w:rPr>
          <w:rFonts w:eastAsia="Times New Roman" w:cs="Times New Roman"/>
          <w:szCs w:val="24"/>
        </w:rPr>
        <w:t>roku. Po uzyskaniu pozytywnej opinii przez Zespół Zadaniowy działający</w:t>
      </w:r>
      <w:r w:rsidR="00E45B1D" w:rsidRPr="004E0F02">
        <w:rPr>
          <w:rFonts w:eastAsia="Times New Roman" w:cs="Times New Roman"/>
          <w:szCs w:val="24"/>
        </w:rPr>
        <w:t xml:space="preserve"> w </w:t>
      </w:r>
      <w:r w:rsidRPr="004E0F02">
        <w:rPr>
          <w:rFonts w:eastAsia="Times New Roman" w:cs="Times New Roman"/>
          <w:szCs w:val="24"/>
        </w:rPr>
        <w:t>ramach Komitetu Rady Ministrów do spraw Cyfryzacji, harmonogram publikowany jest na portalu otwartych danych.</w:t>
      </w:r>
      <w:r w:rsidR="00E45B1D" w:rsidRPr="004E0F02">
        <w:rPr>
          <w:rFonts w:eastAsia="Times New Roman" w:cs="Times New Roman"/>
          <w:szCs w:val="24"/>
        </w:rPr>
        <w:t xml:space="preserve"> W </w:t>
      </w:r>
      <w:r w:rsidRPr="004E0F02">
        <w:rPr>
          <w:rFonts w:eastAsia="Times New Roman" w:cs="Times New Roman"/>
          <w:szCs w:val="24"/>
        </w:rPr>
        <w:t>roku 201</w:t>
      </w:r>
      <w:r w:rsidR="00E45B1D" w:rsidRPr="004E0F02">
        <w:rPr>
          <w:rFonts w:eastAsia="Times New Roman" w:cs="Times New Roman"/>
          <w:szCs w:val="24"/>
        </w:rPr>
        <w:t>9 </w:t>
      </w:r>
      <w:r w:rsidRPr="004E0F02">
        <w:rPr>
          <w:rFonts w:eastAsia="Times New Roman" w:cs="Times New Roman"/>
          <w:szCs w:val="24"/>
        </w:rPr>
        <w:t>na podstawie przedmiotowego harmonogramu udostępniono ok. 14</w:t>
      </w:r>
      <w:r w:rsidR="00E45B1D" w:rsidRPr="004E0F02">
        <w:rPr>
          <w:rFonts w:eastAsia="Times New Roman" w:cs="Times New Roman"/>
          <w:szCs w:val="24"/>
        </w:rPr>
        <w:t>0 </w:t>
      </w:r>
      <w:r w:rsidRPr="004E0F02">
        <w:rPr>
          <w:rFonts w:eastAsia="Times New Roman" w:cs="Times New Roman"/>
          <w:szCs w:val="24"/>
        </w:rPr>
        <w:t>nowych zbiorów danych zawierających informacje sektora publicznego.</w:t>
      </w:r>
    </w:p>
    <w:p w14:paraId="30487D7D" w14:textId="2D0D90AB" w:rsidR="00A42682" w:rsidRPr="004E0F02" w:rsidRDefault="00A42682" w:rsidP="00A42682">
      <w:pPr>
        <w:widowControl/>
        <w:suppressAutoHyphens/>
        <w:spacing w:after="60" w:line="276" w:lineRule="auto"/>
        <w:jc w:val="both"/>
        <w:rPr>
          <w:rFonts w:eastAsia="Times New Roman" w:cs="Times New Roman"/>
          <w:szCs w:val="24"/>
        </w:rPr>
      </w:pPr>
      <w:r w:rsidRPr="004E0F02">
        <w:rPr>
          <w:rFonts w:eastAsia="Times New Roman" w:cs="Times New Roman"/>
          <w:szCs w:val="24"/>
        </w:rPr>
        <w:t>W następstwie rezygnacji</w:t>
      </w:r>
      <w:r w:rsidR="00E45B1D" w:rsidRPr="004E0F02">
        <w:rPr>
          <w:rFonts w:eastAsia="Times New Roman" w:cs="Times New Roman"/>
          <w:szCs w:val="24"/>
        </w:rPr>
        <w:t xml:space="preserve"> z </w:t>
      </w:r>
      <w:r w:rsidRPr="004E0F02">
        <w:rPr>
          <w:rFonts w:eastAsia="Times New Roman" w:cs="Times New Roman"/>
          <w:szCs w:val="24"/>
        </w:rPr>
        <w:t>upoważnienia do obligatoryjnego wydania ww. rozporządzenia</w:t>
      </w:r>
      <w:r w:rsidR="003D6618" w:rsidRPr="004E0F02">
        <w:rPr>
          <w:rFonts w:eastAsia="Times New Roman" w:cs="Times New Roman"/>
          <w:szCs w:val="24"/>
        </w:rPr>
        <w:t>,</w:t>
      </w:r>
      <w:r w:rsidRPr="004E0F02">
        <w:rPr>
          <w:rFonts w:eastAsia="Times New Roman" w:cs="Times New Roman"/>
          <w:szCs w:val="24"/>
        </w:rPr>
        <w:t xml:space="preserve"> do</w:t>
      </w:r>
      <w:r w:rsidR="00E45B1D" w:rsidRPr="004E0F02">
        <w:rPr>
          <w:rFonts w:eastAsia="Times New Roman" w:cs="Times New Roman"/>
          <w:szCs w:val="24"/>
        </w:rPr>
        <w:t xml:space="preserve"> art. </w:t>
      </w:r>
      <w:r w:rsidRPr="004E0F02">
        <w:rPr>
          <w:rFonts w:eastAsia="Times New Roman" w:cs="Times New Roman"/>
          <w:szCs w:val="24"/>
        </w:rPr>
        <w:t>3</w:t>
      </w:r>
      <w:r w:rsidR="003D6618" w:rsidRPr="004E0F02">
        <w:rPr>
          <w:rFonts w:eastAsia="Times New Roman" w:cs="Times New Roman"/>
          <w:szCs w:val="24"/>
        </w:rPr>
        <w:t>7</w:t>
      </w:r>
      <w:r w:rsidR="00E45B1D" w:rsidRPr="004E0F02">
        <w:rPr>
          <w:rFonts w:eastAsia="Times New Roman" w:cs="Times New Roman"/>
          <w:szCs w:val="24"/>
        </w:rPr>
        <w:t xml:space="preserve"> ust. 6 </w:t>
      </w:r>
      <w:r w:rsidRPr="004E0F02">
        <w:rPr>
          <w:rFonts w:eastAsia="Times New Roman" w:cs="Times New Roman"/>
          <w:szCs w:val="24"/>
        </w:rPr>
        <w:t>zawierającego upoważnienie dla Rady Ministrów do określenia przepisów technicznych dotyczących funkcjonowania portalu danych, dodano regulacje</w:t>
      </w:r>
      <w:r w:rsidR="00E45B1D" w:rsidRPr="004E0F02">
        <w:rPr>
          <w:rFonts w:eastAsia="Times New Roman" w:cs="Times New Roman"/>
          <w:szCs w:val="24"/>
        </w:rPr>
        <w:t xml:space="preserve"> w </w:t>
      </w:r>
      <w:r w:rsidRPr="004E0F02">
        <w:rPr>
          <w:rFonts w:eastAsia="Times New Roman" w:cs="Times New Roman"/>
          <w:szCs w:val="24"/>
        </w:rPr>
        <w:t>zakresie sposobu udostępniania informacji sektora publicznego oraz metadanych, mając na względzie posiadaną przez podmioty infrastrukturę teleinformatyczną umożliwiającą gromadzenie w niej informacji publicznych oraz ich udostępnianie,</w:t>
      </w:r>
      <w:r w:rsidR="00E45B1D" w:rsidRPr="004E0F02">
        <w:rPr>
          <w:rFonts w:eastAsia="Times New Roman" w:cs="Times New Roman"/>
          <w:szCs w:val="24"/>
        </w:rPr>
        <w:t xml:space="preserve"> a </w:t>
      </w:r>
      <w:r w:rsidRPr="004E0F02">
        <w:rPr>
          <w:rFonts w:eastAsia="Times New Roman" w:cs="Times New Roman"/>
          <w:szCs w:val="24"/>
        </w:rPr>
        <w:t>także możliwości techniczne przechowywania tych informacji na portalu.</w:t>
      </w:r>
    </w:p>
    <w:p w14:paraId="1BB625D7" w14:textId="2D694A02" w:rsidR="00967351" w:rsidRPr="004E0F02" w:rsidRDefault="003703A3" w:rsidP="00160BFA">
      <w:pPr>
        <w:pStyle w:val="USTustnpkodeksu"/>
        <w:keepNext/>
        <w:spacing w:line="276" w:lineRule="auto"/>
        <w:ind w:firstLine="0"/>
      </w:pPr>
      <w:r w:rsidRPr="004E0F02">
        <w:rPr>
          <w:rFonts w:eastAsia="Times New Roman" w:cs="Times New Roman"/>
          <w:szCs w:val="24"/>
        </w:rPr>
        <w:t xml:space="preserve">W przepisach dotyczących możliwości </w:t>
      </w:r>
      <w:r w:rsidRPr="004E0F02">
        <w:t>zlecenia wyspecjalizowanym podmiotom czynności związanych z prowadzeniem portalu danych</w:t>
      </w:r>
      <w:r w:rsidR="00160BFA" w:rsidRPr="004E0F02">
        <w:t xml:space="preserve"> (art. 37 )</w:t>
      </w:r>
      <w:r w:rsidRPr="004E0F02">
        <w:t xml:space="preserve">, określono </w:t>
      </w:r>
      <w:r w:rsidR="00B60F61" w:rsidRPr="004E0F02">
        <w:t xml:space="preserve">w punkcie 3, </w:t>
      </w:r>
      <w:r w:rsidR="002D3C6A" w:rsidRPr="004E0F02">
        <w:t>ustęp</w:t>
      </w:r>
      <w:r w:rsidR="00B60F61" w:rsidRPr="004E0F02">
        <w:t>u</w:t>
      </w:r>
      <w:r w:rsidR="002D3C6A" w:rsidRPr="004E0F02">
        <w:t xml:space="preserve"> 3, </w:t>
      </w:r>
      <w:r w:rsidRPr="004E0F02">
        <w:t>dodatkowy warunek do spełnienia przez ww. podmioty, związany z zawieraniem umowy o</w:t>
      </w:r>
      <w:r w:rsidR="00B60F61" w:rsidRPr="004E0F02">
        <w:t> </w:t>
      </w:r>
      <w:r w:rsidRPr="004E0F02">
        <w:t xml:space="preserve">powierzeniu przetwarzania danych osobowych o której mowa w art. 28 ust. 3 rozporządzenia 2016/679. Warunek ten dotyczy zapewnienia </w:t>
      </w:r>
      <w:r w:rsidR="00160BFA" w:rsidRPr="004E0F02">
        <w:t xml:space="preserve">przez wyspecjalizowane podmioty </w:t>
      </w:r>
      <w:r w:rsidR="00C86A90" w:rsidRPr="004E0F02">
        <w:t xml:space="preserve">odpowiednich </w:t>
      </w:r>
      <w:r w:rsidRPr="004E0F02">
        <w:t>warunków organizacyjnych i technicznych zapewniających ochronę przetwarzanych danych osobowych, w szczególności zabezpieczenia danych przed nieuprawnionym dostępem, nielegalnym ujawnieniem lub pozyskaniem, a także ich modyfikacją, uszkodzeniem, zniszczeniem lub utratą.</w:t>
      </w:r>
    </w:p>
    <w:p w14:paraId="555F54BE" w14:textId="79631942" w:rsidR="00B131AC" w:rsidRPr="004E0F02" w:rsidRDefault="00A42682" w:rsidP="00C74BD9">
      <w:pPr>
        <w:widowControl/>
        <w:suppressAutoHyphens/>
        <w:spacing w:before="60" w:after="60" w:line="276" w:lineRule="auto"/>
        <w:jc w:val="both"/>
        <w:rPr>
          <w:rFonts w:eastAsia="Times New Roman" w:cs="Times New Roman"/>
          <w:szCs w:val="24"/>
        </w:rPr>
      </w:pPr>
      <w:r w:rsidRPr="004E0F02">
        <w:rPr>
          <w:rFonts w:eastAsia="Times New Roman" w:cs="Times New Roman"/>
          <w:szCs w:val="24"/>
        </w:rPr>
        <w:t>Projektowana ustawa dokonuje także zmiany porządkującej</w:t>
      </w:r>
      <w:r w:rsidR="00E45B1D" w:rsidRPr="004E0F02">
        <w:rPr>
          <w:rFonts w:eastAsia="Times New Roman" w:cs="Times New Roman"/>
          <w:szCs w:val="24"/>
        </w:rPr>
        <w:t xml:space="preserve"> w </w:t>
      </w:r>
      <w:r w:rsidRPr="004E0F02">
        <w:rPr>
          <w:rFonts w:eastAsia="Times New Roman" w:cs="Times New Roman"/>
          <w:szCs w:val="24"/>
        </w:rPr>
        <w:t>przepisach dotyczących udostępniania danych spoza sektora publicznego (art. 3</w:t>
      </w:r>
      <w:r w:rsidR="003D6618" w:rsidRPr="004E0F02">
        <w:rPr>
          <w:rFonts w:eastAsia="Times New Roman" w:cs="Times New Roman"/>
          <w:szCs w:val="24"/>
        </w:rPr>
        <w:t>8</w:t>
      </w:r>
      <w:r w:rsidRPr="004E0F02">
        <w:rPr>
          <w:rFonts w:eastAsia="Times New Roman" w:cs="Times New Roman"/>
          <w:szCs w:val="24"/>
        </w:rPr>
        <w:t xml:space="preserve">). Proponuje się zastąpienie sfomułowania </w:t>
      </w:r>
      <w:r w:rsidR="00E45B1D" w:rsidRPr="004E0F02">
        <w:rPr>
          <w:rFonts w:eastAsia="Times New Roman" w:cs="Times New Roman"/>
          <w:szCs w:val="24"/>
        </w:rPr>
        <w:t>„</w:t>
      </w:r>
      <w:r w:rsidRPr="004E0F02">
        <w:rPr>
          <w:rFonts w:eastAsia="Times New Roman" w:cs="Times New Roman"/>
          <w:szCs w:val="24"/>
          <w:shd w:val="clear" w:color="auto" w:fill="FFFFFF"/>
        </w:rPr>
        <w:t>treści utrwalonych</w:t>
      </w:r>
      <w:r w:rsidR="00E45B1D" w:rsidRPr="004E0F02">
        <w:rPr>
          <w:rFonts w:eastAsia="Times New Roman" w:cs="Times New Roman"/>
          <w:szCs w:val="24"/>
          <w:shd w:val="clear" w:color="auto" w:fill="FFFFFF"/>
        </w:rPr>
        <w:t xml:space="preserve"> w </w:t>
      </w:r>
      <w:r w:rsidRPr="004E0F02">
        <w:rPr>
          <w:rFonts w:eastAsia="Times New Roman" w:cs="Times New Roman"/>
          <w:szCs w:val="24"/>
          <w:shd w:val="clear" w:color="auto" w:fill="FFFFFF"/>
        </w:rPr>
        <w:t>postaci elektronicznej</w:t>
      </w:r>
      <w:r w:rsidR="00E45B1D" w:rsidRPr="004E0F02">
        <w:rPr>
          <w:rFonts w:eastAsia="Times New Roman" w:cs="Times New Roman"/>
          <w:szCs w:val="24"/>
          <w:shd w:val="clear" w:color="auto" w:fill="FFFFFF"/>
        </w:rPr>
        <w:t>”</w:t>
      </w:r>
      <w:r w:rsidRPr="004E0F02">
        <w:rPr>
          <w:rFonts w:eastAsia="Times New Roman" w:cs="Times New Roman"/>
          <w:szCs w:val="24"/>
          <w:shd w:val="clear" w:color="auto" w:fill="FFFFFF"/>
        </w:rPr>
        <w:t xml:space="preserve"> (obecnie funkcjonującego w</w:t>
      </w:r>
      <w:r w:rsidR="003E00E7" w:rsidRPr="004E0F02">
        <w:rPr>
          <w:rFonts w:eastAsia="Times New Roman" w:cs="Times New Roman"/>
          <w:szCs w:val="24"/>
          <w:shd w:val="clear" w:color="auto" w:fill="FFFFFF"/>
        </w:rPr>
        <w:t> </w:t>
      </w:r>
      <w:r w:rsidRPr="004E0F02">
        <w:rPr>
          <w:rFonts w:eastAsia="Times New Roman" w:cs="Times New Roman"/>
          <w:szCs w:val="24"/>
          <w:shd w:val="clear" w:color="auto" w:fill="FFFFFF"/>
        </w:rPr>
        <w:t>ustawie</w:t>
      </w:r>
      <w:r w:rsidR="00E45B1D" w:rsidRPr="004E0F02">
        <w:rPr>
          <w:rFonts w:eastAsia="Times New Roman" w:cs="Times New Roman"/>
          <w:szCs w:val="24"/>
          <w:shd w:val="clear" w:color="auto" w:fill="FFFFFF"/>
        </w:rPr>
        <w:t xml:space="preserve"> o </w:t>
      </w:r>
      <w:r w:rsidRPr="004E0F02">
        <w:rPr>
          <w:rFonts w:eastAsia="Times New Roman" w:cs="Times New Roman"/>
          <w:szCs w:val="24"/>
          <w:shd w:val="clear" w:color="auto" w:fill="FFFFFF"/>
        </w:rPr>
        <w:t>dostępie do informacji publicznej</w:t>
      </w:r>
      <w:r w:rsidR="003E00E7" w:rsidRPr="004E0F02">
        <w:rPr>
          <w:rFonts w:eastAsia="Times New Roman" w:cs="Times New Roman"/>
          <w:szCs w:val="24"/>
          <w:shd w:val="clear" w:color="auto" w:fill="FFFFFF"/>
        </w:rPr>
        <w:t xml:space="preserve"> –</w:t>
      </w:r>
      <w:r w:rsidR="00E45B1D" w:rsidRPr="004E0F02">
        <w:rPr>
          <w:rFonts w:eastAsia="Times New Roman" w:cs="Times New Roman"/>
          <w:szCs w:val="24"/>
          <w:shd w:val="clear" w:color="auto" w:fill="FFFFFF"/>
        </w:rPr>
        <w:t xml:space="preserve"> art. </w:t>
      </w:r>
      <w:r w:rsidR="003E00E7" w:rsidRPr="004E0F02">
        <w:rPr>
          <w:rFonts w:eastAsia="Times New Roman" w:cs="Times New Roman"/>
          <w:szCs w:val="24"/>
          <w:shd w:val="clear" w:color="auto" w:fill="FFFFFF"/>
        </w:rPr>
        <w:t>9c</w:t>
      </w:r>
      <w:r w:rsidR="00E45B1D" w:rsidRPr="004E0F02">
        <w:rPr>
          <w:rFonts w:eastAsia="Times New Roman" w:cs="Times New Roman"/>
          <w:szCs w:val="24"/>
          <w:shd w:val="clear" w:color="auto" w:fill="FFFFFF"/>
        </w:rPr>
        <w:t xml:space="preserve"> ust. </w:t>
      </w:r>
      <w:r w:rsidR="003E00E7" w:rsidRPr="004E0F02">
        <w:rPr>
          <w:rFonts w:eastAsia="Times New Roman" w:cs="Times New Roman"/>
          <w:szCs w:val="24"/>
          <w:shd w:val="clear" w:color="auto" w:fill="FFFFFF"/>
        </w:rPr>
        <w:t>1a</w:t>
      </w:r>
      <w:r w:rsidRPr="004E0F02">
        <w:rPr>
          <w:rFonts w:eastAsia="Times New Roman" w:cs="Times New Roman"/>
          <w:szCs w:val="24"/>
          <w:shd w:val="clear" w:color="auto" w:fill="FFFFFF"/>
        </w:rPr>
        <w:t xml:space="preserve">) określeniem </w:t>
      </w:r>
      <w:r w:rsidR="00E45B1D" w:rsidRPr="004E0F02">
        <w:rPr>
          <w:rFonts w:eastAsia="Times New Roman" w:cs="Times New Roman"/>
          <w:szCs w:val="24"/>
          <w:shd w:val="clear" w:color="auto" w:fill="FFFFFF"/>
        </w:rPr>
        <w:t>„</w:t>
      </w:r>
      <w:r w:rsidRPr="004E0F02">
        <w:rPr>
          <w:rFonts w:eastAsia="Times New Roman" w:cs="Times New Roman"/>
          <w:szCs w:val="24"/>
          <w:shd w:val="clear" w:color="auto" w:fill="FFFFFF"/>
        </w:rPr>
        <w:t>dane prywatne</w:t>
      </w:r>
      <w:r w:rsidR="00E45B1D" w:rsidRPr="004E0F02">
        <w:rPr>
          <w:rFonts w:eastAsia="Times New Roman" w:cs="Times New Roman"/>
          <w:szCs w:val="24"/>
          <w:shd w:val="clear" w:color="auto" w:fill="FFFFFF"/>
        </w:rPr>
        <w:t>”</w:t>
      </w:r>
      <w:r w:rsidRPr="004E0F02">
        <w:rPr>
          <w:rFonts w:eastAsia="Times New Roman" w:cs="Times New Roman"/>
          <w:szCs w:val="24"/>
          <w:shd w:val="clear" w:color="auto" w:fill="FFFFFF"/>
        </w:rPr>
        <w:t xml:space="preserve"> zdefiniowanym słowniczku ustawowym</w:t>
      </w:r>
      <w:r w:rsidR="00E45B1D" w:rsidRPr="004E0F02">
        <w:rPr>
          <w:rFonts w:eastAsia="Times New Roman" w:cs="Times New Roman"/>
          <w:szCs w:val="24"/>
          <w:shd w:val="clear" w:color="auto" w:fill="FFFFFF"/>
        </w:rPr>
        <w:t xml:space="preserve"> w art. 2 pkt </w:t>
      </w:r>
      <w:r w:rsidRPr="004E0F02">
        <w:rPr>
          <w:rFonts w:eastAsia="Times New Roman" w:cs="Times New Roman"/>
          <w:szCs w:val="24"/>
          <w:shd w:val="clear" w:color="auto" w:fill="FFFFFF"/>
        </w:rPr>
        <w:t xml:space="preserve">5. Ponadto, </w:t>
      </w:r>
      <w:r w:rsidRPr="004E0F02">
        <w:rPr>
          <w:rFonts w:eastAsia="Times New Roman" w:cs="Times New Roman"/>
          <w:szCs w:val="24"/>
        </w:rPr>
        <w:t xml:space="preserve">wprowadzając możliwość dobrowolnego publikowania danych prywatnych na portalu dane.gov.pl, </w:t>
      </w:r>
      <w:r w:rsidRPr="004E0F02">
        <w:rPr>
          <w:rFonts w:eastAsia="Times New Roman" w:cs="Times New Roman"/>
          <w:szCs w:val="24"/>
          <w:shd w:val="clear" w:color="auto" w:fill="FFFFFF"/>
        </w:rPr>
        <w:t>ustawodawca</w:t>
      </w:r>
      <w:r w:rsidRPr="004E0F02">
        <w:rPr>
          <w:rFonts w:eastAsia="Times New Roman" w:cs="Times New Roman"/>
          <w:szCs w:val="24"/>
        </w:rPr>
        <w:t xml:space="preserve"> podejmuje aktywność</w:t>
      </w:r>
      <w:r w:rsidR="00E45B1D" w:rsidRPr="004E0F02">
        <w:rPr>
          <w:rFonts w:eastAsia="Times New Roman" w:cs="Times New Roman"/>
          <w:szCs w:val="24"/>
        </w:rPr>
        <w:t xml:space="preserve"> w </w:t>
      </w:r>
      <w:r w:rsidRPr="004E0F02">
        <w:rPr>
          <w:rFonts w:eastAsia="Times New Roman" w:cs="Times New Roman"/>
          <w:szCs w:val="24"/>
        </w:rPr>
        <w:t>celu stworzenia linii współpracy</w:t>
      </w:r>
      <w:r w:rsidR="00E45B1D" w:rsidRPr="004E0F02">
        <w:rPr>
          <w:rFonts w:eastAsia="Times New Roman" w:cs="Times New Roman"/>
          <w:szCs w:val="24"/>
        </w:rPr>
        <w:t xml:space="preserve"> w </w:t>
      </w:r>
      <w:r w:rsidRPr="004E0F02">
        <w:rPr>
          <w:rFonts w:eastAsia="Times New Roman" w:cs="Times New Roman"/>
          <w:szCs w:val="24"/>
        </w:rPr>
        <w:t>relacji Biznes</w:t>
      </w:r>
      <w:r w:rsidR="00656E04" w:rsidRPr="004E0F02">
        <w:rPr>
          <w:rFonts w:eastAsia="Times New Roman" w:cs="Times New Roman"/>
          <w:szCs w:val="24"/>
        </w:rPr>
        <w:t xml:space="preserve"> </w:t>
      </w:r>
      <w:r w:rsidRPr="004E0F02">
        <w:rPr>
          <w:rFonts w:eastAsia="Times New Roman" w:cs="Times New Roman"/>
          <w:szCs w:val="24"/>
        </w:rPr>
        <w:t>–</w:t>
      </w:r>
      <w:r w:rsidR="00656E04" w:rsidRPr="004E0F02">
        <w:rPr>
          <w:rFonts w:eastAsia="Times New Roman" w:cs="Times New Roman"/>
          <w:szCs w:val="24"/>
        </w:rPr>
        <w:t xml:space="preserve"> </w:t>
      </w:r>
      <w:r w:rsidRPr="004E0F02">
        <w:rPr>
          <w:rFonts w:eastAsia="Times New Roman" w:cs="Times New Roman"/>
          <w:szCs w:val="24"/>
        </w:rPr>
        <w:t xml:space="preserve">Administracja (B2G). </w:t>
      </w:r>
      <w:r w:rsidRPr="004E0F02">
        <w:rPr>
          <w:rFonts w:eastAsia="Times New Roman" w:cs="Times New Roman"/>
          <w:szCs w:val="24"/>
          <w:shd w:val="clear" w:color="auto" w:fill="FFFFFF"/>
        </w:rPr>
        <w:t>Wiele danych, k</w:t>
      </w:r>
      <w:r w:rsidRPr="004E0F02">
        <w:rPr>
          <w:rFonts w:eastAsia="Times New Roman" w:cs="Times New Roman"/>
          <w:szCs w:val="24"/>
        </w:rPr>
        <w:t>t</w:t>
      </w:r>
      <w:r w:rsidRPr="004E0F02">
        <w:rPr>
          <w:rFonts w:eastAsia="Times New Roman" w:cs="Times New Roman"/>
          <w:szCs w:val="24"/>
          <w:shd w:val="clear" w:color="auto" w:fill="FFFFFF"/>
        </w:rPr>
        <w:t>óre mogą mieć istotne znaczenie dla realizacji zadań</w:t>
      </w:r>
      <w:r w:rsidR="00E45B1D" w:rsidRPr="004E0F02">
        <w:rPr>
          <w:rFonts w:eastAsia="Times New Roman" w:cs="Times New Roman"/>
          <w:szCs w:val="24"/>
          <w:shd w:val="clear" w:color="auto" w:fill="FFFFFF"/>
        </w:rPr>
        <w:t xml:space="preserve"> w </w:t>
      </w:r>
      <w:r w:rsidRPr="004E0F02">
        <w:rPr>
          <w:rFonts w:eastAsia="Times New Roman" w:cs="Times New Roman"/>
          <w:szCs w:val="24"/>
          <w:shd w:val="clear" w:color="auto" w:fill="FFFFFF"/>
        </w:rPr>
        <w:t>interesie publicznym (np.</w:t>
      </w:r>
      <w:r w:rsidR="00E45B1D" w:rsidRPr="004E0F02">
        <w:rPr>
          <w:rFonts w:eastAsia="Times New Roman" w:cs="Times New Roman"/>
          <w:szCs w:val="24"/>
          <w:shd w:val="clear" w:color="auto" w:fill="FFFFFF"/>
        </w:rPr>
        <w:t xml:space="preserve"> w </w:t>
      </w:r>
      <w:r w:rsidRPr="004E0F02">
        <w:rPr>
          <w:rFonts w:eastAsia="Times New Roman" w:cs="Times New Roman"/>
          <w:szCs w:val="24"/>
          <w:shd w:val="clear" w:color="auto" w:fill="FFFFFF"/>
        </w:rPr>
        <w:t>dziedzinie transportu, dostarczania</w:t>
      </w:r>
      <w:r w:rsidR="00E45B1D" w:rsidRPr="004E0F02">
        <w:rPr>
          <w:rFonts w:eastAsia="Times New Roman" w:cs="Times New Roman"/>
          <w:szCs w:val="24"/>
          <w:shd w:val="clear" w:color="auto" w:fill="FFFFFF"/>
        </w:rPr>
        <w:t xml:space="preserve"> i </w:t>
      </w:r>
      <w:r w:rsidRPr="004E0F02">
        <w:rPr>
          <w:rFonts w:eastAsia="Times New Roman" w:cs="Times New Roman"/>
          <w:szCs w:val="24"/>
          <w:shd w:val="clear" w:color="auto" w:fill="FFFFFF"/>
        </w:rPr>
        <w:t>wykorzystania energii, ochrony środowiska, edukacji itp.) jest świadczonych przez podmioty prywatne. Dane prywatne generowane przez podmioty spoza sektora publicznego, udostępniane na portalu, mogą mieć istotne znaczenie dla realizacji zadań</w:t>
      </w:r>
      <w:r w:rsidR="00E45B1D" w:rsidRPr="004E0F02">
        <w:rPr>
          <w:rFonts w:eastAsia="Times New Roman" w:cs="Times New Roman"/>
          <w:szCs w:val="24"/>
          <w:shd w:val="clear" w:color="auto" w:fill="FFFFFF"/>
        </w:rPr>
        <w:t xml:space="preserve"> w </w:t>
      </w:r>
      <w:r w:rsidRPr="004E0F02">
        <w:rPr>
          <w:rFonts w:eastAsia="Times New Roman" w:cs="Times New Roman"/>
          <w:szCs w:val="24"/>
          <w:shd w:val="clear" w:color="auto" w:fill="FFFFFF"/>
        </w:rPr>
        <w:t>interesie publicznym</w:t>
      </w:r>
      <w:r w:rsidR="00E45B1D" w:rsidRPr="004E0F02">
        <w:rPr>
          <w:rFonts w:eastAsia="Times New Roman" w:cs="Times New Roman"/>
          <w:szCs w:val="24"/>
          <w:shd w:val="clear" w:color="auto" w:fill="FFFFFF"/>
        </w:rPr>
        <w:t xml:space="preserve"> i </w:t>
      </w:r>
      <w:r w:rsidRPr="004E0F02">
        <w:rPr>
          <w:rFonts w:eastAsia="Times New Roman" w:cs="Times New Roman"/>
          <w:szCs w:val="24"/>
          <w:shd w:val="clear" w:color="auto" w:fill="FFFFFF"/>
        </w:rPr>
        <w:t xml:space="preserve">stanowić wysoką wartość dla dobra wspólnego. </w:t>
      </w:r>
      <w:r w:rsidRPr="004E0F02">
        <w:rPr>
          <w:rFonts w:eastAsia="Times New Roman" w:cs="Times New Roman"/>
          <w:szCs w:val="24"/>
        </w:rPr>
        <w:t>Tego typu dane, mogą stać się filarem procesów skutkujących powstaniem produktów</w:t>
      </w:r>
      <w:r w:rsidR="00E45B1D" w:rsidRPr="004E0F02">
        <w:rPr>
          <w:rFonts w:eastAsia="Times New Roman" w:cs="Times New Roman"/>
          <w:szCs w:val="24"/>
        </w:rPr>
        <w:t xml:space="preserve"> i </w:t>
      </w:r>
      <w:r w:rsidRPr="004E0F02">
        <w:rPr>
          <w:rFonts w:eastAsia="Times New Roman" w:cs="Times New Roman"/>
          <w:szCs w:val="24"/>
        </w:rPr>
        <w:t>usług konkurujących pod względem efektywności</w:t>
      </w:r>
      <w:r w:rsidR="00E45B1D" w:rsidRPr="004E0F02">
        <w:rPr>
          <w:rFonts w:eastAsia="Times New Roman" w:cs="Times New Roman"/>
          <w:szCs w:val="24"/>
        </w:rPr>
        <w:t xml:space="preserve"> i </w:t>
      </w:r>
      <w:r w:rsidRPr="004E0F02">
        <w:rPr>
          <w:rFonts w:eastAsia="Times New Roman" w:cs="Times New Roman"/>
          <w:szCs w:val="24"/>
        </w:rPr>
        <w:t>innowacyjności</w:t>
      </w:r>
      <w:r w:rsidR="00E45B1D" w:rsidRPr="004E0F02">
        <w:rPr>
          <w:rFonts w:eastAsia="Times New Roman" w:cs="Times New Roman"/>
          <w:szCs w:val="24"/>
        </w:rPr>
        <w:t xml:space="preserve"> z </w:t>
      </w:r>
      <w:r w:rsidRPr="004E0F02">
        <w:rPr>
          <w:rFonts w:eastAsia="Times New Roman" w:cs="Times New Roman"/>
          <w:szCs w:val="24"/>
        </w:rPr>
        <w:t>publicznymi. Dane płynące</w:t>
      </w:r>
      <w:r w:rsidR="00E45B1D" w:rsidRPr="004E0F02">
        <w:rPr>
          <w:rFonts w:eastAsia="Times New Roman" w:cs="Times New Roman"/>
          <w:szCs w:val="24"/>
        </w:rPr>
        <w:t xml:space="preserve"> z </w:t>
      </w:r>
      <w:r w:rsidRPr="004E0F02">
        <w:rPr>
          <w:rFonts w:eastAsia="Times New Roman" w:cs="Times New Roman"/>
          <w:szCs w:val="24"/>
        </w:rPr>
        <w:t>sektora prywatnego bezpośrednio wpływają na rozwój innowacyjnych produktów, rozwój sztucznej inteligencji oraz innych pożądanych zastosowań</w:t>
      </w:r>
      <w:r w:rsidR="00E45B1D" w:rsidRPr="004E0F02">
        <w:rPr>
          <w:rFonts w:eastAsia="Times New Roman" w:cs="Times New Roman"/>
          <w:szCs w:val="24"/>
        </w:rPr>
        <w:t xml:space="preserve"> i </w:t>
      </w:r>
      <w:r w:rsidRPr="004E0F02">
        <w:rPr>
          <w:rFonts w:eastAsia="Times New Roman" w:cs="Times New Roman"/>
          <w:szCs w:val="24"/>
        </w:rPr>
        <w:t>narzędzi cyfrowych.</w:t>
      </w:r>
      <w:r w:rsidR="00E45B1D" w:rsidRPr="004E0F02">
        <w:rPr>
          <w:rFonts w:eastAsia="Times New Roman" w:cs="Times New Roman"/>
          <w:szCs w:val="24"/>
        </w:rPr>
        <w:t xml:space="preserve"> Z </w:t>
      </w:r>
      <w:r w:rsidRPr="004E0F02">
        <w:rPr>
          <w:rFonts w:eastAsia="Times New Roman" w:cs="Times New Roman"/>
          <w:szCs w:val="24"/>
        </w:rPr>
        <w:t>uwagi na bardzo różnorodny zakres danych, jakie już są</w:t>
      </w:r>
      <w:r w:rsidR="00E45B1D" w:rsidRPr="004E0F02">
        <w:rPr>
          <w:rFonts w:eastAsia="Times New Roman" w:cs="Times New Roman"/>
          <w:szCs w:val="24"/>
        </w:rPr>
        <w:t xml:space="preserve"> i </w:t>
      </w:r>
      <w:r w:rsidR="00A84584" w:rsidRPr="004E0F02">
        <w:rPr>
          <w:rFonts w:eastAsia="Times New Roman" w:cs="Times New Roman"/>
          <w:szCs w:val="24"/>
        </w:rPr>
        <w:t xml:space="preserve">będą </w:t>
      </w:r>
      <w:r w:rsidRPr="004E0F02">
        <w:rPr>
          <w:rFonts w:eastAsia="Times New Roman" w:cs="Times New Roman"/>
          <w:szCs w:val="24"/>
        </w:rPr>
        <w:t>udostępniane na portalu dane.gov.pl, ich systematycznej weryfikacji</w:t>
      </w:r>
      <w:r w:rsidR="00E45B1D" w:rsidRPr="004E0F02">
        <w:rPr>
          <w:rFonts w:eastAsia="Times New Roman" w:cs="Times New Roman"/>
          <w:szCs w:val="24"/>
        </w:rPr>
        <w:t xml:space="preserve"> i </w:t>
      </w:r>
      <w:r w:rsidRPr="004E0F02">
        <w:rPr>
          <w:rFonts w:eastAsia="Times New Roman" w:cs="Times New Roman"/>
          <w:szCs w:val="24"/>
        </w:rPr>
        <w:t>aktualizacji dokon</w:t>
      </w:r>
      <w:r w:rsidR="00A84584" w:rsidRPr="004E0F02">
        <w:rPr>
          <w:rFonts w:eastAsia="Times New Roman" w:cs="Times New Roman"/>
          <w:szCs w:val="24"/>
        </w:rPr>
        <w:t>ywać</w:t>
      </w:r>
      <w:r w:rsidRPr="004E0F02">
        <w:rPr>
          <w:rFonts w:eastAsia="Times New Roman" w:cs="Times New Roman"/>
          <w:szCs w:val="24"/>
        </w:rPr>
        <w:t xml:space="preserve"> </w:t>
      </w:r>
      <w:r w:rsidR="00A84584" w:rsidRPr="004E0F02">
        <w:rPr>
          <w:rFonts w:eastAsia="Times New Roman" w:cs="Times New Roman"/>
          <w:szCs w:val="24"/>
        </w:rPr>
        <w:t xml:space="preserve">będą </w:t>
      </w:r>
      <w:r w:rsidRPr="004E0F02">
        <w:rPr>
          <w:rFonts w:eastAsia="Times New Roman" w:cs="Times New Roman"/>
          <w:szCs w:val="24"/>
        </w:rPr>
        <w:t xml:space="preserve">podmioty </w:t>
      </w:r>
      <w:r w:rsidR="00A84584" w:rsidRPr="004E0F02">
        <w:rPr>
          <w:rFonts w:eastAsia="Times New Roman" w:cs="Times New Roman"/>
          <w:szCs w:val="24"/>
        </w:rPr>
        <w:t xml:space="preserve">je </w:t>
      </w:r>
      <w:r w:rsidRPr="004E0F02">
        <w:rPr>
          <w:rFonts w:eastAsia="Times New Roman" w:cs="Times New Roman"/>
          <w:szCs w:val="24"/>
        </w:rPr>
        <w:t>udostępniające</w:t>
      </w:r>
      <w:r w:rsidR="00A84584" w:rsidRPr="004E0F02">
        <w:rPr>
          <w:rFonts w:eastAsia="Times New Roman" w:cs="Times New Roman"/>
          <w:szCs w:val="24"/>
        </w:rPr>
        <w:t>.</w:t>
      </w:r>
      <w:r w:rsidR="00E45B1D" w:rsidRPr="004E0F02">
        <w:rPr>
          <w:rFonts w:eastAsia="Times New Roman" w:cs="Times New Roman"/>
          <w:szCs w:val="24"/>
        </w:rPr>
        <w:t xml:space="preserve"> W </w:t>
      </w:r>
      <w:r w:rsidR="00A84584" w:rsidRPr="004E0F02">
        <w:rPr>
          <w:rFonts w:eastAsia="Times New Roman" w:cs="Times New Roman"/>
          <w:szCs w:val="24"/>
        </w:rPr>
        <w:t>tym zakresie wyrażon</w:t>
      </w:r>
      <w:r w:rsidR="00C17E7F" w:rsidRPr="004E0F02">
        <w:rPr>
          <w:rFonts w:eastAsia="Times New Roman" w:cs="Times New Roman"/>
          <w:szCs w:val="24"/>
        </w:rPr>
        <w:t>e</w:t>
      </w:r>
      <w:r w:rsidR="00E45B1D" w:rsidRPr="004E0F02">
        <w:rPr>
          <w:rFonts w:eastAsia="Times New Roman" w:cs="Times New Roman"/>
          <w:szCs w:val="24"/>
        </w:rPr>
        <w:t xml:space="preserve"> w art. </w:t>
      </w:r>
      <w:r w:rsidR="00A84584" w:rsidRPr="004E0F02">
        <w:rPr>
          <w:rFonts w:eastAsia="Times New Roman" w:cs="Times New Roman"/>
          <w:szCs w:val="24"/>
        </w:rPr>
        <w:t>1</w:t>
      </w:r>
      <w:r w:rsidR="00E45B1D" w:rsidRPr="004E0F02">
        <w:rPr>
          <w:rFonts w:eastAsia="Times New Roman" w:cs="Times New Roman"/>
          <w:szCs w:val="24"/>
        </w:rPr>
        <w:t>3 </w:t>
      </w:r>
      <w:r w:rsidR="00C17E7F" w:rsidRPr="004E0F02">
        <w:rPr>
          <w:rFonts w:eastAsia="Times New Roman" w:cs="Times New Roman"/>
          <w:szCs w:val="24"/>
        </w:rPr>
        <w:t xml:space="preserve"> obowiązki </w:t>
      </w:r>
      <w:r w:rsidR="00A84584" w:rsidRPr="004E0F02">
        <w:rPr>
          <w:rFonts w:eastAsia="Times New Roman" w:cs="Times New Roman"/>
          <w:szCs w:val="24"/>
        </w:rPr>
        <w:t xml:space="preserve">dotyczyć będzie również podmiotów publikujących na portalu dane prywatne </w:t>
      </w:r>
      <w:r w:rsidRPr="004E0F02">
        <w:rPr>
          <w:rFonts w:eastAsia="Times New Roman" w:cs="Times New Roman"/>
          <w:szCs w:val="24"/>
        </w:rPr>
        <w:t>(art. 3</w:t>
      </w:r>
      <w:r w:rsidR="00C17E7F" w:rsidRPr="004E0F02">
        <w:rPr>
          <w:rFonts w:eastAsia="Times New Roman" w:cs="Times New Roman"/>
          <w:szCs w:val="24"/>
        </w:rPr>
        <w:t>9</w:t>
      </w:r>
      <w:r w:rsidRPr="004E0F02">
        <w:rPr>
          <w:rFonts w:eastAsia="Times New Roman" w:cs="Times New Roman"/>
          <w:szCs w:val="24"/>
        </w:rPr>
        <w:t>).</w:t>
      </w:r>
    </w:p>
    <w:p w14:paraId="4542D00B" w14:textId="77777777" w:rsidR="00A42682" w:rsidRPr="004E0F02" w:rsidRDefault="00A42682" w:rsidP="00A42682">
      <w:pPr>
        <w:widowControl/>
        <w:spacing w:before="240" w:after="120" w:line="276" w:lineRule="auto"/>
        <w:jc w:val="both"/>
        <w:rPr>
          <w:rFonts w:eastAsia="Calibri" w:cs="Times New Roman"/>
          <w:b/>
          <w:szCs w:val="24"/>
          <w:lang w:eastAsia="en-US"/>
        </w:rPr>
      </w:pPr>
      <w:r w:rsidRPr="004E0F02">
        <w:rPr>
          <w:rFonts w:eastAsia="Calibri" w:cs="Times New Roman"/>
          <w:b/>
          <w:szCs w:val="24"/>
          <w:lang w:eastAsia="en-US"/>
        </w:rPr>
        <w:t>Rozdział 8. Pełnomocnicy do spraw otwartości danych.</w:t>
      </w:r>
    </w:p>
    <w:p w14:paraId="2F3419BA" w14:textId="4E669C1C" w:rsidR="00A42682" w:rsidRPr="004E0F02" w:rsidRDefault="00A42682" w:rsidP="00A42682">
      <w:pPr>
        <w:widowControl/>
        <w:autoSpaceDE/>
        <w:autoSpaceDN/>
        <w:adjustRightInd/>
        <w:spacing w:after="120" w:line="276" w:lineRule="auto"/>
        <w:jc w:val="both"/>
        <w:rPr>
          <w:rFonts w:eastAsia="Calibri" w:cs="Times New Roman"/>
          <w:szCs w:val="24"/>
          <w:lang w:eastAsia="en-US"/>
        </w:rPr>
      </w:pPr>
      <w:r w:rsidRPr="004E0F02">
        <w:rPr>
          <w:rFonts w:eastAsia="Calibri" w:cs="Times New Roman"/>
          <w:szCs w:val="24"/>
          <w:lang w:eastAsia="en-US"/>
        </w:rPr>
        <w:lastRenderedPageBreak/>
        <w:t>Projekt ustawy przewiduje również powołanie sieci Pełnomocników do spraw otwartości danych. Obecnie na mocy Programu Otwierania Danych Publicznych przyjętego uchwałą</w:t>
      </w:r>
      <w:r w:rsidR="00E45B1D" w:rsidRPr="004E0F02">
        <w:rPr>
          <w:rFonts w:eastAsia="Calibri" w:cs="Times New Roman"/>
          <w:szCs w:val="24"/>
          <w:lang w:eastAsia="en-US"/>
        </w:rPr>
        <w:t xml:space="preserve"> Nr </w:t>
      </w:r>
      <w:r w:rsidRPr="004E0F02">
        <w:rPr>
          <w:rFonts w:eastAsia="Calibri" w:cs="Times New Roman"/>
          <w:szCs w:val="24"/>
          <w:lang w:eastAsia="en-US"/>
        </w:rPr>
        <w:t>107/201</w:t>
      </w:r>
      <w:r w:rsidR="00E45B1D" w:rsidRPr="004E0F02">
        <w:rPr>
          <w:rFonts w:eastAsia="Calibri" w:cs="Times New Roman"/>
          <w:szCs w:val="24"/>
          <w:lang w:eastAsia="en-US"/>
        </w:rPr>
        <w:t>6 </w:t>
      </w:r>
      <w:r w:rsidRPr="004E0F02">
        <w:rPr>
          <w:rFonts w:eastAsia="Calibri" w:cs="Times New Roman"/>
          <w:szCs w:val="24"/>
          <w:lang w:eastAsia="en-US"/>
        </w:rPr>
        <w:t>Rady Ministrów</w:t>
      </w:r>
      <w:r w:rsidR="00E45B1D" w:rsidRPr="004E0F02">
        <w:rPr>
          <w:rFonts w:eastAsia="Calibri" w:cs="Times New Roman"/>
          <w:szCs w:val="24"/>
          <w:lang w:eastAsia="en-US"/>
        </w:rPr>
        <w:t xml:space="preserve"> z </w:t>
      </w:r>
      <w:r w:rsidRPr="004E0F02">
        <w:rPr>
          <w:rFonts w:eastAsia="Calibri" w:cs="Times New Roman"/>
          <w:szCs w:val="24"/>
          <w:lang w:eastAsia="en-US"/>
        </w:rPr>
        <w:t>dnia 2</w:t>
      </w:r>
      <w:r w:rsidR="00E45B1D" w:rsidRPr="004E0F02">
        <w:rPr>
          <w:rFonts w:eastAsia="Calibri" w:cs="Times New Roman"/>
          <w:szCs w:val="24"/>
          <w:lang w:eastAsia="en-US"/>
        </w:rPr>
        <w:t>0 </w:t>
      </w:r>
      <w:r w:rsidRPr="004E0F02">
        <w:rPr>
          <w:rFonts w:eastAsia="Calibri" w:cs="Times New Roman"/>
          <w:szCs w:val="24"/>
          <w:lang w:eastAsia="en-US"/>
        </w:rPr>
        <w:t>września 201</w:t>
      </w:r>
      <w:r w:rsidR="00E45B1D" w:rsidRPr="004E0F02">
        <w:rPr>
          <w:rFonts w:eastAsia="Calibri" w:cs="Times New Roman"/>
          <w:szCs w:val="24"/>
          <w:lang w:eastAsia="en-US"/>
        </w:rPr>
        <w:t>6 </w:t>
      </w:r>
      <w:r w:rsidRPr="004E0F02">
        <w:rPr>
          <w:rFonts w:eastAsia="Calibri" w:cs="Times New Roman"/>
          <w:szCs w:val="24"/>
          <w:lang w:eastAsia="en-US"/>
        </w:rPr>
        <w:t xml:space="preserve">r., formalnie </w:t>
      </w:r>
      <w:r w:rsidRPr="004E0F02">
        <w:rPr>
          <w:rFonts w:eastAsia="Times New Roman" w:cs="Times New Roman"/>
          <w:szCs w:val="24"/>
          <w:lang w:eastAsia="en-US"/>
        </w:rPr>
        <w:t>funkcjonuje już sieć pełnomocników,</w:t>
      </w:r>
      <w:r w:rsidR="00E45B1D" w:rsidRPr="004E0F02">
        <w:rPr>
          <w:rFonts w:eastAsia="Times New Roman" w:cs="Times New Roman"/>
          <w:szCs w:val="24"/>
          <w:lang w:eastAsia="en-US"/>
        </w:rPr>
        <w:t xml:space="preserve"> z </w:t>
      </w:r>
      <w:r w:rsidRPr="004E0F02">
        <w:rPr>
          <w:rFonts w:eastAsia="Times New Roman" w:cs="Times New Roman"/>
          <w:szCs w:val="24"/>
          <w:lang w:eastAsia="en-US"/>
        </w:rPr>
        <w:t xml:space="preserve">koordynatorem – pełnomocnikiem Ministra Cyfryzacji. </w:t>
      </w:r>
      <w:r w:rsidR="006604CC" w:rsidRPr="004E0F02">
        <w:rPr>
          <w:rFonts w:eastAsia="Times New Roman" w:cs="Times New Roman"/>
          <w:szCs w:val="24"/>
          <w:lang w:eastAsia="en-US"/>
        </w:rPr>
        <w:t>J</w:t>
      </w:r>
      <w:r w:rsidRPr="004E0F02">
        <w:rPr>
          <w:rFonts w:eastAsia="Times New Roman" w:cs="Times New Roman"/>
          <w:szCs w:val="24"/>
          <w:lang w:eastAsia="en-US"/>
        </w:rPr>
        <w:t xml:space="preserve">est ona </w:t>
      </w:r>
      <w:r w:rsidR="006604CC" w:rsidRPr="004E0F02">
        <w:rPr>
          <w:rFonts w:eastAsia="Times New Roman" w:cs="Times New Roman"/>
          <w:szCs w:val="24"/>
          <w:lang w:eastAsia="en-US"/>
        </w:rPr>
        <w:t xml:space="preserve">jednak </w:t>
      </w:r>
      <w:r w:rsidRPr="004E0F02">
        <w:rPr>
          <w:rFonts w:eastAsia="Times New Roman" w:cs="Times New Roman"/>
          <w:szCs w:val="24"/>
          <w:lang w:eastAsia="en-US"/>
        </w:rPr>
        <w:t>ograniczona wyłącznie do poziomu administracji rządowej (ministerstwa, Kancelaria Prezesa Rady Ministrów, Główny Urząd Statystyczny, Główny Urząd Geodezji</w:t>
      </w:r>
      <w:r w:rsidR="00E45B1D" w:rsidRPr="004E0F02">
        <w:rPr>
          <w:rFonts w:eastAsia="Times New Roman" w:cs="Times New Roman"/>
          <w:szCs w:val="24"/>
          <w:lang w:eastAsia="en-US"/>
        </w:rPr>
        <w:t xml:space="preserve"> i </w:t>
      </w:r>
      <w:r w:rsidRPr="004E0F02">
        <w:rPr>
          <w:rFonts w:eastAsia="Times New Roman" w:cs="Times New Roman"/>
          <w:szCs w:val="24"/>
          <w:lang w:eastAsia="en-US"/>
        </w:rPr>
        <w:t xml:space="preserve">Kartografii). </w:t>
      </w:r>
      <w:r w:rsidRPr="004E0F02">
        <w:rPr>
          <w:rFonts w:eastAsia="Calibri" w:cs="Times New Roman"/>
          <w:szCs w:val="24"/>
          <w:lang w:eastAsia="en-US"/>
        </w:rPr>
        <w:t>Potrzeba poszerzenia tzw. sieci pełnomocników na wielu poziomach instytucjonalnych pojawiła się na bazie doświadczeń</w:t>
      </w:r>
      <w:r w:rsidR="00E45B1D" w:rsidRPr="004E0F02">
        <w:rPr>
          <w:rFonts w:eastAsia="Calibri" w:cs="Times New Roman"/>
          <w:szCs w:val="24"/>
          <w:lang w:eastAsia="en-US"/>
        </w:rPr>
        <w:t xml:space="preserve"> z </w:t>
      </w:r>
      <w:r w:rsidRPr="004E0F02">
        <w:rPr>
          <w:rFonts w:eastAsia="Calibri" w:cs="Times New Roman"/>
          <w:szCs w:val="24"/>
          <w:lang w:eastAsia="en-US"/>
        </w:rPr>
        <w:t>wdrażania ww. Programu</w:t>
      </w:r>
      <w:r w:rsidR="00E45B1D" w:rsidRPr="004E0F02">
        <w:rPr>
          <w:rFonts w:eastAsia="Calibri" w:cs="Times New Roman"/>
          <w:szCs w:val="24"/>
          <w:lang w:eastAsia="en-US"/>
        </w:rPr>
        <w:t xml:space="preserve"> i </w:t>
      </w:r>
      <w:r w:rsidRPr="004E0F02">
        <w:rPr>
          <w:rFonts w:eastAsia="Calibri" w:cs="Times New Roman"/>
          <w:szCs w:val="24"/>
          <w:lang w:eastAsia="en-US"/>
        </w:rPr>
        <w:t>wymaga ustawowego umocowania. Działanie to pozwoli na ujednolicenie działań</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zakresie wdrażania polityki otwartości działań na różnych szczeblach </w:t>
      </w:r>
      <w:r w:rsidR="006604CC" w:rsidRPr="004E0F02">
        <w:rPr>
          <w:rFonts w:eastAsia="Calibri" w:cs="Times New Roman"/>
          <w:szCs w:val="24"/>
          <w:lang w:eastAsia="en-US"/>
        </w:rPr>
        <w:t xml:space="preserve">administracji </w:t>
      </w:r>
      <w:r w:rsidRPr="004E0F02">
        <w:rPr>
          <w:rFonts w:eastAsia="Calibri" w:cs="Times New Roman"/>
          <w:szCs w:val="24"/>
          <w:lang w:eastAsia="en-US"/>
        </w:rPr>
        <w:t>jak</w:t>
      </w:r>
      <w:r w:rsidR="00E45B1D" w:rsidRPr="004E0F02">
        <w:rPr>
          <w:rFonts w:eastAsia="Calibri" w:cs="Times New Roman"/>
          <w:szCs w:val="24"/>
          <w:lang w:eastAsia="en-US"/>
        </w:rPr>
        <w:t xml:space="preserve"> i </w:t>
      </w:r>
      <w:r w:rsidRPr="004E0F02">
        <w:rPr>
          <w:rFonts w:eastAsia="Calibri" w:cs="Times New Roman"/>
          <w:szCs w:val="24"/>
          <w:lang w:eastAsia="en-US"/>
        </w:rPr>
        <w:t xml:space="preserve">przyczyni się do </w:t>
      </w:r>
      <w:r w:rsidR="006604CC" w:rsidRPr="004E0F02">
        <w:rPr>
          <w:rFonts w:eastAsia="Calibri" w:cs="Times New Roman"/>
          <w:szCs w:val="24"/>
          <w:lang w:eastAsia="en-US"/>
        </w:rPr>
        <w:t xml:space="preserve">przyspieszenia procesu otwierania </w:t>
      </w:r>
      <w:r w:rsidRPr="004E0F02">
        <w:rPr>
          <w:rFonts w:eastAsia="Calibri" w:cs="Times New Roman"/>
          <w:szCs w:val="24"/>
          <w:lang w:eastAsia="en-US"/>
        </w:rPr>
        <w:t>danych</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Polsce oraz poprawy </w:t>
      </w:r>
      <w:r w:rsidR="006604CC" w:rsidRPr="004E0F02">
        <w:rPr>
          <w:rFonts w:eastAsia="Calibri" w:cs="Times New Roman"/>
          <w:szCs w:val="24"/>
          <w:lang w:eastAsia="en-US"/>
        </w:rPr>
        <w:t xml:space="preserve">ich </w:t>
      </w:r>
      <w:r w:rsidRPr="004E0F02">
        <w:rPr>
          <w:rFonts w:eastAsia="Calibri" w:cs="Times New Roman"/>
          <w:szCs w:val="24"/>
          <w:lang w:eastAsia="en-US"/>
        </w:rPr>
        <w:t>jakości.</w:t>
      </w:r>
      <w:r w:rsidR="00E45B1D" w:rsidRPr="004E0F02">
        <w:rPr>
          <w:rFonts w:eastAsia="Calibri" w:cs="Times New Roman"/>
          <w:szCs w:val="24"/>
          <w:lang w:eastAsia="en-US"/>
        </w:rPr>
        <w:t xml:space="preserve"> W </w:t>
      </w:r>
      <w:r w:rsidRPr="004E0F02">
        <w:rPr>
          <w:rFonts w:eastAsia="Calibri" w:cs="Times New Roman"/>
          <w:szCs w:val="24"/>
          <w:lang w:eastAsia="en-US"/>
        </w:rPr>
        <w:t>związku</w:t>
      </w:r>
      <w:r w:rsidR="00E45B1D" w:rsidRPr="004E0F02">
        <w:rPr>
          <w:rFonts w:eastAsia="Calibri" w:cs="Times New Roman"/>
          <w:szCs w:val="24"/>
          <w:lang w:eastAsia="en-US"/>
        </w:rPr>
        <w:t xml:space="preserve"> z </w:t>
      </w:r>
      <w:r w:rsidRPr="004E0F02">
        <w:rPr>
          <w:rFonts w:eastAsia="Calibri" w:cs="Times New Roman"/>
          <w:szCs w:val="24"/>
          <w:lang w:eastAsia="en-US"/>
        </w:rPr>
        <w:t>tym,</w:t>
      </w:r>
      <w:r w:rsidR="00E45B1D" w:rsidRPr="004E0F02">
        <w:rPr>
          <w:rFonts w:eastAsia="Calibri" w:cs="Times New Roman"/>
          <w:szCs w:val="24"/>
          <w:lang w:eastAsia="en-US"/>
        </w:rPr>
        <w:t xml:space="preserve"> w art. </w:t>
      </w:r>
      <w:r w:rsidR="00290833" w:rsidRPr="004E0F02">
        <w:rPr>
          <w:rFonts w:eastAsia="Calibri" w:cs="Times New Roman"/>
          <w:szCs w:val="24"/>
          <w:lang w:eastAsia="en-US"/>
        </w:rPr>
        <w:t>40</w:t>
      </w:r>
      <w:r w:rsidR="00E45B1D" w:rsidRPr="004E0F02">
        <w:rPr>
          <w:rFonts w:eastAsia="Calibri" w:cs="Times New Roman"/>
          <w:szCs w:val="24"/>
          <w:lang w:eastAsia="en-US"/>
        </w:rPr>
        <w:t xml:space="preserve"> ust. 2 </w:t>
      </w:r>
      <w:r w:rsidRPr="004E0F02">
        <w:rPr>
          <w:rFonts w:eastAsia="Calibri" w:cs="Times New Roman"/>
          <w:szCs w:val="24"/>
          <w:lang w:eastAsia="en-US"/>
        </w:rPr>
        <w:t>przewidzia</w:t>
      </w:r>
      <w:r w:rsidR="00B131AC" w:rsidRPr="004E0F02">
        <w:rPr>
          <w:rFonts w:eastAsia="Calibri" w:cs="Times New Roman"/>
          <w:szCs w:val="24"/>
          <w:lang w:eastAsia="en-US"/>
        </w:rPr>
        <w:t>no</w:t>
      </w:r>
      <w:r w:rsidRPr="004E0F02">
        <w:rPr>
          <w:rFonts w:eastAsia="Calibri" w:cs="Times New Roman"/>
          <w:szCs w:val="24"/>
          <w:lang w:eastAsia="en-US"/>
        </w:rPr>
        <w:t xml:space="preserve"> powoływanie pełnomocników na zasadzie obligatoryjności</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organach administracji rządowej, </w:t>
      </w:r>
      <w:r w:rsidRPr="004E0F02">
        <w:rPr>
          <w:rFonts w:eastAsia="Calibri" w:cs="Times New Roman"/>
          <w:szCs w:val="24"/>
          <w:shd w:val="clear" w:color="auto" w:fill="FFFFFF"/>
          <w:lang w:eastAsia="en-US"/>
        </w:rPr>
        <w:t xml:space="preserve">przez </w:t>
      </w:r>
      <w:r w:rsidR="00290833" w:rsidRPr="004E0F02">
        <w:rPr>
          <w:rFonts w:eastAsia="Calibri" w:cs="Times New Roman"/>
          <w:szCs w:val="24"/>
          <w:shd w:val="clear" w:color="auto" w:fill="FFFFFF"/>
          <w:lang w:eastAsia="en-US"/>
        </w:rPr>
        <w:t>członków Rady Ministrów</w:t>
      </w:r>
      <w:r w:rsidRPr="004E0F02">
        <w:rPr>
          <w:rFonts w:eastAsia="Calibri" w:cs="Times New Roman"/>
          <w:szCs w:val="24"/>
          <w:shd w:val="clear" w:color="auto" w:fill="FFFFFF"/>
          <w:lang w:eastAsia="en-US"/>
        </w:rPr>
        <w:t>, po jednym</w:t>
      </w:r>
      <w:r w:rsidR="00E45B1D" w:rsidRPr="004E0F02">
        <w:rPr>
          <w:rFonts w:eastAsia="Calibri" w:cs="Times New Roman"/>
          <w:szCs w:val="24"/>
          <w:shd w:val="clear" w:color="auto" w:fill="FFFFFF"/>
          <w:lang w:eastAsia="en-US"/>
        </w:rPr>
        <w:t xml:space="preserve"> z </w:t>
      </w:r>
      <w:r w:rsidRPr="004E0F02">
        <w:rPr>
          <w:rFonts w:eastAsia="Calibri" w:cs="Times New Roman"/>
          <w:szCs w:val="24"/>
          <w:shd w:val="clear" w:color="auto" w:fill="FFFFFF"/>
          <w:lang w:eastAsia="en-US"/>
        </w:rPr>
        <w:t xml:space="preserve">każdego urzędu obsługującego ministra, </w:t>
      </w:r>
      <w:r w:rsidR="00290833" w:rsidRPr="004E0F02">
        <w:rPr>
          <w:rFonts w:eastAsia="Calibri" w:cs="Times New Roman"/>
          <w:szCs w:val="24"/>
          <w:shd w:val="clear" w:color="auto" w:fill="FFFFFF"/>
          <w:lang w:eastAsia="en-US"/>
        </w:rPr>
        <w:t xml:space="preserve">Prezesa Rady Ministrów </w:t>
      </w:r>
      <w:r w:rsidRPr="004E0F02">
        <w:rPr>
          <w:rFonts w:eastAsia="Calibri" w:cs="Times New Roman"/>
          <w:szCs w:val="24"/>
          <w:shd w:val="clear" w:color="auto" w:fill="FFFFFF"/>
          <w:lang w:eastAsia="en-US"/>
        </w:rPr>
        <w:t xml:space="preserve">oraz </w:t>
      </w:r>
      <w:r w:rsidR="00290833" w:rsidRPr="004E0F02">
        <w:rPr>
          <w:rFonts w:eastAsia="Calibri" w:cs="Times New Roman"/>
          <w:szCs w:val="24"/>
          <w:shd w:val="clear" w:color="auto" w:fill="FFFFFF"/>
          <w:lang w:eastAsia="en-US"/>
        </w:rPr>
        <w:t xml:space="preserve">przez </w:t>
      </w:r>
      <w:r w:rsidRPr="004E0F02">
        <w:rPr>
          <w:rFonts w:eastAsia="Calibri" w:cs="Times New Roman"/>
          <w:szCs w:val="24"/>
          <w:shd w:val="clear" w:color="auto" w:fill="FFFFFF"/>
          <w:lang w:eastAsia="en-US"/>
        </w:rPr>
        <w:t>Prezesa Głównego Urzędu Statystycznego</w:t>
      </w:r>
      <w:r w:rsidRPr="004E0F02">
        <w:rPr>
          <w:rFonts w:eastAsia="Calibri" w:cs="Times New Roman"/>
          <w:szCs w:val="24"/>
          <w:lang w:eastAsia="en-US"/>
        </w:rPr>
        <w:t xml:space="preserve">. </w:t>
      </w:r>
      <w:r w:rsidR="00F237E3" w:rsidRPr="004E0F02">
        <w:rPr>
          <w:rFonts w:eastAsia="Calibri" w:cs="Times New Roman"/>
          <w:szCs w:val="24"/>
          <w:lang w:eastAsia="en-US"/>
        </w:rPr>
        <w:t>Projektodawca zakłada, iż</w:t>
      </w:r>
      <w:r w:rsidR="00D44CEC" w:rsidRPr="004E0F02">
        <w:rPr>
          <w:rFonts w:eastAsia="Calibri" w:cs="Times New Roman"/>
          <w:szCs w:val="24"/>
          <w:lang w:eastAsia="en-US"/>
        </w:rPr>
        <w:t xml:space="preserve"> </w:t>
      </w:r>
      <w:r w:rsidR="007F402B">
        <w:rPr>
          <w:rFonts w:eastAsia="Calibri" w:cs="Times New Roman"/>
          <w:szCs w:val="24"/>
          <w:lang w:eastAsia="en-US"/>
        </w:rPr>
        <w:t>ustanowieni</w:t>
      </w:r>
      <w:r w:rsidR="00F237E3" w:rsidRPr="004E0F02">
        <w:rPr>
          <w:rFonts w:eastAsia="Calibri" w:cs="Times New Roman"/>
          <w:szCs w:val="24"/>
          <w:lang w:eastAsia="en-US"/>
        </w:rPr>
        <w:t xml:space="preserve"> </w:t>
      </w:r>
      <w:r w:rsidR="00F237E3" w:rsidRPr="004E0F02">
        <w:t xml:space="preserve">Pełnomocnicy będą wykonywali swoje czynności również w organach i jednostkach organizacyjnych podległych lub nadzorowanych przez właściwych członków Rady Ministrów, z wyjątkiem Pełnomocnika powołanego przez Prezesa Głównego Urzędu Statystycznego. </w:t>
      </w:r>
      <w:r w:rsidRPr="004E0F02">
        <w:rPr>
          <w:rFonts w:eastAsia="Calibri" w:cs="Times New Roman"/>
          <w:szCs w:val="24"/>
          <w:lang w:eastAsia="en-US"/>
        </w:rPr>
        <w:t>Natomiast w ramach dobrowolności, na podstawie</w:t>
      </w:r>
      <w:r w:rsidR="00E45B1D" w:rsidRPr="004E0F02">
        <w:rPr>
          <w:rFonts w:eastAsia="Calibri" w:cs="Times New Roman"/>
          <w:szCs w:val="24"/>
          <w:lang w:eastAsia="en-US"/>
        </w:rPr>
        <w:t xml:space="preserve"> art. </w:t>
      </w:r>
      <w:r w:rsidR="00F237E3" w:rsidRPr="004E0F02">
        <w:rPr>
          <w:rFonts w:eastAsia="Calibri" w:cs="Times New Roman"/>
          <w:szCs w:val="24"/>
          <w:lang w:eastAsia="en-US"/>
        </w:rPr>
        <w:t>40</w:t>
      </w:r>
      <w:r w:rsidR="00E45B1D" w:rsidRPr="004E0F02">
        <w:rPr>
          <w:rFonts w:eastAsia="Calibri" w:cs="Times New Roman"/>
          <w:szCs w:val="24"/>
          <w:lang w:eastAsia="en-US"/>
        </w:rPr>
        <w:t xml:space="preserve"> ust. </w:t>
      </w:r>
      <w:r w:rsidR="00F237E3" w:rsidRPr="004E0F02">
        <w:rPr>
          <w:rFonts w:eastAsia="Calibri" w:cs="Times New Roman"/>
          <w:szCs w:val="24"/>
          <w:lang w:eastAsia="en-US"/>
        </w:rPr>
        <w:t>4</w:t>
      </w:r>
      <w:r w:rsidR="00E45B1D" w:rsidRPr="004E0F02">
        <w:rPr>
          <w:rFonts w:eastAsia="Calibri" w:cs="Times New Roman"/>
          <w:szCs w:val="24"/>
          <w:lang w:eastAsia="en-US"/>
        </w:rPr>
        <w:t> </w:t>
      </w:r>
      <w:r w:rsidRPr="004E0F02">
        <w:rPr>
          <w:rFonts w:eastAsia="Calibri" w:cs="Times New Roman"/>
          <w:szCs w:val="24"/>
          <w:lang w:eastAsia="en-US"/>
        </w:rPr>
        <w:t xml:space="preserve">ustawodawca dopuszcza powołanie pełnomocników </w:t>
      </w:r>
      <w:r w:rsidR="00F237E3" w:rsidRPr="004E0F02">
        <w:rPr>
          <w:rFonts w:cs="Times New Roman"/>
        </w:rPr>
        <w:t>w innych instytucjach niż podmioty zobowiązane</w:t>
      </w:r>
      <w:r w:rsidRPr="004E0F02">
        <w:rPr>
          <w:rFonts w:eastAsia="Calibri" w:cs="Times New Roman"/>
          <w:bCs/>
          <w:szCs w:val="24"/>
          <w:lang w:eastAsia="en-US"/>
        </w:rPr>
        <w:t>.</w:t>
      </w:r>
      <w:r w:rsidR="00F237E3" w:rsidRPr="004E0F02">
        <w:rPr>
          <w:rFonts w:eastAsia="Calibri" w:cs="Times New Roman"/>
          <w:szCs w:val="24"/>
          <w:lang w:eastAsia="en-US"/>
        </w:rPr>
        <w:t xml:space="preserve"> </w:t>
      </w:r>
      <w:r w:rsidRPr="004E0F02">
        <w:rPr>
          <w:rFonts w:eastAsia="Calibri" w:cs="Times New Roman"/>
          <w:szCs w:val="24"/>
          <w:lang w:eastAsia="en-US"/>
        </w:rPr>
        <w:t>Nadrzędnym zadani</w:t>
      </w:r>
      <w:r w:rsidR="004908F3" w:rsidRPr="004E0F02">
        <w:rPr>
          <w:rFonts w:eastAsia="Calibri" w:cs="Times New Roman"/>
          <w:szCs w:val="24"/>
          <w:lang w:eastAsia="en-US"/>
        </w:rPr>
        <w:t>e</w:t>
      </w:r>
      <w:r w:rsidR="00FC7655" w:rsidRPr="004E0F02">
        <w:rPr>
          <w:rFonts w:eastAsia="Calibri" w:cs="Times New Roman"/>
          <w:szCs w:val="24"/>
          <w:lang w:eastAsia="en-US"/>
        </w:rPr>
        <w:t>m</w:t>
      </w:r>
      <w:r w:rsidRPr="004E0F02">
        <w:rPr>
          <w:rFonts w:eastAsia="Calibri" w:cs="Times New Roman"/>
          <w:szCs w:val="24"/>
          <w:lang w:eastAsia="en-US"/>
        </w:rPr>
        <w:t xml:space="preserve"> jaki powierza się ww. pełnomocnikom </w:t>
      </w:r>
      <w:r w:rsidR="00FC7655" w:rsidRPr="004E0F02">
        <w:rPr>
          <w:rFonts w:eastAsia="Calibri" w:cs="Times New Roman"/>
          <w:szCs w:val="24"/>
          <w:lang w:eastAsia="en-US"/>
        </w:rPr>
        <w:t>będzie</w:t>
      </w:r>
      <w:r w:rsidR="00FD09D4" w:rsidRPr="004E0F02">
        <w:rPr>
          <w:rFonts w:eastAsia="Calibri" w:cs="Times New Roman"/>
          <w:szCs w:val="24"/>
          <w:lang w:eastAsia="en-US"/>
        </w:rPr>
        <w:t xml:space="preserve"> </w:t>
      </w:r>
      <w:r w:rsidRPr="004E0F02">
        <w:rPr>
          <w:rFonts w:eastAsia="Calibri" w:cs="Times New Roman"/>
          <w:szCs w:val="24"/>
          <w:lang w:eastAsia="en-US"/>
        </w:rPr>
        <w:t xml:space="preserve">realizowanie działań </w:t>
      </w:r>
      <w:r w:rsidR="00DD0C47" w:rsidRPr="004E0F02">
        <w:t>mających na celu poprawę jakości i zwiększenie ilości informacji sektora publicznego udostępnianych na portalu danych w celu ponownego wykorzystywania</w:t>
      </w:r>
      <w:r w:rsidR="00FC7655" w:rsidRPr="004E0F02">
        <w:t xml:space="preserve">. Ponadto, w </w:t>
      </w:r>
      <w:r w:rsidR="008248D0" w:rsidRPr="004E0F02">
        <w:rPr>
          <w:rFonts w:cs="Times New Roman"/>
        </w:rPr>
        <w:t>ramach poziomu operacyjnego Pełnomocnicy ds. otwartości danych</w:t>
      </w:r>
      <w:r w:rsidR="00FC7655" w:rsidRPr="004E0F02">
        <w:rPr>
          <w:rFonts w:cs="Times New Roman"/>
        </w:rPr>
        <w:t xml:space="preserve"> będą </w:t>
      </w:r>
      <w:r w:rsidR="008248D0" w:rsidRPr="004E0F02">
        <w:rPr>
          <w:rFonts w:cs="Times New Roman"/>
        </w:rPr>
        <w:t>wspiera</w:t>
      </w:r>
      <w:r w:rsidR="00FC7655" w:rsidRPr="004E0F02">
        <w:rPr>
          <w:rFonts w:cs="Times New Roman"/>
        </w:rPr>
        <w:t xml:space="preserve">ć </w:t>
      </w:r>
      <w:r w:rsidR="008248D0" w:rsidRPr="004E0F02">
        <w:rPr>
          <w:rFonts w:cs="Times New Roman"/>
        </w:rPr>
        <w:t xml:space="preserve">Realizatorów Programu </w:t>
      </w:r>
      <w:r w:rsidR="008248D0" w:rsidRPr="004E0F02">
        <w:t>w wykonywaniu zadań związanych z realizacją Programu</w:t>
      </w:r>
      <w:r w:rsidR="008248D0" w:rsidRPr="004E0F02">
        <w:rPr>
          <w:rFonts w:cs="Times New Roman"/>
        </w:rPr>
        <w:t>.</w:t>
      </w:r>
      <w:r w:rsidR="008248D0" w:rsidRPr="004E0F02">
        <w:rPr>
          <w:rFonts w:ascii="Arial" w:hAnsi="Arial"/>
        </w:rPr>
        <w:t xml:space="preserve"> </w:t>
      </w:r>
      <w:r w:rsidRPr="004E0F02">
        <w:rPr>
          <w:rFonts w:eastAsia="Calibri" w:cs="Times New Roman"/>
          <w:szCs w:val="24"/>
          <w:lang w:eastAsia="en-US"/>
        </w:rPr>
        <w:t xml:space="preserve">Artykuł </w:t>
      </w:r>
      <w:r w:rsidR="00FC7655" w:rsidRPr="004E0F02">
        <w:rPr>
          <w:rFonts w:eastAsia="Calibri" w:cs="Times New Roman"/>
          <w:szCs w:val="24"/>
          <w:lang w:eastAsia="en-US"/>
        </w:rPr>
        <w:t>41</w:t>
      </w:r>
      <w:r w:rsidR="00E45B1D" w:rsidRPr="004E0F02">
        <w:rPr>
          <w:rFonts w:eastAsia="Calibri" w:cs="Times New Roman"/>
          <w:szCs w:val="24"/>
          <w:lang w:eastAsia="en-US"/>
        </w:rPr>
        <w:t> </w:t>
      </w:r>
      <w:r w:rsidRPr="004E0F02">
        <w:rPr>
          <w:rFonts w:eastAsia="Calibri" w:cs="Times New Roman"/>
          <w:szCs w:val="24"/>
          <w:lang w:eastAsia="en-US"/>
        </w:rPr>
        <w:t xml:space="preserve">zawiera </w:t>
      </w:r>
      <w:r w:rsidR="00FC7655" w:rsidRPr="004E0F02">
        <w:rPr>
          <w:rFonts w:eastAsia="Calibri" w:cs="Times New Roman"/>
          <w:szCs w:val="24"/>
          <w:lang w:eastAsia="en-US"/>
        </w:rPr>
        <w:t xml:space="preserve">otwarty </w:t>
      </w:r>
      <w:r w:rsidRPr="004E0F02">
        <w:rPr>
          <w:rFonts w:eastAsia="Calibri" w:cs="Times New Roman"/>
          <w:szCs w:val="24"/>
          <w:lang w:eastAsia="en-US"/>
        </w:rPr>
        <w:t>katalog obowiązków Pełnomocników, do których będzie należeć m.in.: pozyskiwanie informacji sektora publicznego możliwych do udostępniania na portalu; monitorowanie jakości</w:t>
      </w:r>
      <w:r w:rsidR="00E45B1D" w:rsidRPr="004E0F02">
        <w:rPr>
          <w:rFonts w:eastAsia="Calibri" w:cs="Times New Roman"/>
          <w:szCs w:val="24"/>
          <w:lang w:eastAsia="en-US"/>
        </w:rPr>
        <w:t xml:space="preserve"> i </w:t>
      </w:r>
      <w:r w:rsidRPr="004E0F02">
        <w:rPr>
          <w:rFonts w:eastAsia="Calibri" w:cs="Times New Roman"/>
          <w:szCs w:val="24"/>
          <w:lang w:eastAsia="en-US"/>
        </w:rPr>
        <w:t>aktualności informacji sektora publicznego oraz metadanych</w:t>
      </w:r>
      <w:r w:rsidR="00FC7655" w:rsidRPr="004E0F02">
        <w:rPr>
          <w:rFonts w:eastAsia="Calibri" w:cs="Times New Roman"/>
          <w:szCs w:val="24"/>
          <w:lang w:eastAsia="en-US"/>
        </w:rPr>
        <w:t xml:space="preserve">, </w:t>
      </w:r>
      <w:r w:rsidR="00FC7655" w:rsidRPr="004E0F02">
        <w:t>ocena informacji sektora publicznego pod względem ich jakości oraz użyteczności, do ich ponownego wykorzystywania</w:t>
      </w:r>
    </w:p>
    <w:p w14:paraId="305E9377" w14:textId="77777777" w:rsidR="00A42682" w:rsidRPr="004E0F02" w:rsidRDefault="00A42682" w:rsidP="00A42682">
      <w:pPr>
        <w:widowControl/>
        <w:spacing w:after="120" w:line="276" w:lineRule="auto"/>
        <w:jc w:val="both"/>
        <w:rPr>
          <w:rFonts w:eastAsia="Calibri" w:cs="Times New Roman"/>
          <w:b/>
          <w:szCs w:val="24"/>
          <w:lang w:eastAsia="en-US"/>
        </w:rPr>
      </w:pPr>
      <w:r w:rsidRPr="004E0F02">
        <w:rPr>
          <w:rFonts w:eastAsia="Calibri" w:cs="Times New Roman"/>
          <w:b/>
          <w:szCs w:val="24"/>
          <w:lang w:eastAsia="en-US"/>
        </w:rPr>
        <w:t>Rozdział 9.</w:t>
      </w:r>
      <w:r w:rsidRPr="004E0F02">
        <w:rPr>
          <w:rFonts w:eastAsia="Calibri" w:cs="Times New Roman"/>
          <w:szCs w:val="24"/>
          <w:lang w:eastAsia="en-US"/>
        </w:rPr>
        <w:t xml:space="preserve"> </w:t>
      </w:r>
      <w:r w:rsidRPr="004E0F02">
        <w:rPr>
          <w:rFonts w:eastAsia="Calibri" w:cs="Times New Roman"/>
          <w:b/>
          <w:szCs w:val="24"/>
          <w:lang w:eastAsia="en-US"/>
        </w:rPr>
        <w:t>Ponowne wykorzystywanie informacji sektora publicznego przekazywanych na wniosek.</w:t>
      </w:r>
    </w:p>
    <w:p w14:paraId="374C159F" w14:textId="487CABBF"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Przesłanki do złożenia wniosku</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 informacji sektora publicznego wskazane zostały</w:t>
      </w:r>
      <w:r w:rsidR="00E45B1D" w:rsidRPr="004E0F02">
        <w:rPr>
          <w:rFonts w:eastAsia="Calibri" w:cs="Times New Roman"/>
          <w:szCs w:val="24"/>
          <w:lang w:eastAsia="en-US"/>
        </w:rPr>
        <w:t xml:space="preserve"> w art. </w:t>
      </w:r>
      <w:r w:rsidR="00D235E3" w:rsidRPr="004E0F02">
        <w:rPr>
          <w:rFonts w:eastAsia="Calibri" w:cs="Times New Roman"/>
          <w:szCs w:val="24"/>
          <w:lang w:eastAsia="en-US"/>
        </w:rPr>
        <w:t xml:space="preserve">42 </w:t>
      </w:r>
      <w:r w:rsidR="00E45B1D" w:rsidRPr="004E0F02">
        <w:rPr>
          <w:rFonts w:eastAsia="Calibri" w:cs="Times New Roman"/>
          <w:szCs w:val="24"/>
          <w:lang w:eastAsia="en-US"/>
        </w:rPr>
        <w:t>ust. 1 </w:t>
      </w:r>
      <w:r w:rsidRPr="004E0F02">
        <w:rPr>
          <w:rFonts w:eastAsia="Calibri" w:cs="Times New Roman"/>
          <w:szCs w:val="24"/>
          <w:lang w:eastAsia="en-US"/>
        </w:rPr>
        <w:t>projektu ustawy, zgodnie</w:t>
      </w:r>
      <w:r w:rsidR="00E45B1D" w:rsidRPr="004E0F02">
        <w:rPr>
          <w:rFonts w:eastAsia="Calibri" w:cs="Times New Roman"/>
          <w:szCs w:val="24"/>
          <w:lang w:eastAsia="en-US"/>
        </w:rPr>
        <w:t xml:space="preserve"> z </w:t>
      </w:r>
      <w:r w:rsidRPr="004E0F02">
        <w:rPr>
          <w:rFonts w:eastAsia="Calibri" w:cs="Times New Roman"/>
          <w:szCs w:val="24"/>
          <w:lang w:eastAsia="en-US"/>
        </w:rPr>
        <w:t>którym wniosek składa się w</w:t>
      </w:r>
      <w:r w:rsidR="00814645" w:rsidRPr="004E0F02">
        <w:rPr>
          <w:rFonts w:eastAsia="Calibri" w:cs="Times New Roman"/>
          <w:szCs w:val="24"/>
          <w:lang w:eastAsia="en-US"/>
        </w:rPr>
        <w:t> </w:t>
      </w:r>
      <w:r w:rsidRPr="004E0F02">
        <w:rPr>
          <w:rFonts w:eastAsia="Calibri" w:cs="Times New Roman"/>
          <w:szCs w:val="24"/>
          <w:lang w:eastAsia="en-US"/>
        </w:rPr>
        <w:t>przypadku gdy informacja sektora publicznego będąca</w:t>
      </w:r>
      <w:r w:rsidR="00E45B1D" w:rsidRPr="004E0F02">
        <w:rPr>
          <w:rFonts w:eastAsia="Calibri" w:cs="Times New Roman"/>
          <w:szCs w:val="24"/>
          <w:lang w:eastAsia="en-US"/>
        </w:rPr>
        <w:t xml:space="preserve"> w </w:t>
      </w:r>
      <w:r w:rsidRPr="004E0F02">
        <w:rPr>
          <w:rFonts w:eastAsia="Calibri" w:cs="Times New Roman"/>
          <w:szCs w:val="24"/>
          <w:lang w:eastAsia="en-US"/>
        </w:rPr>
        <w:t>posiadaniu podmiotu zobowiązanego:</w:t>
      </w:r>
    </w:p>
    <w:p w14:paraId="7CE642FC" w14:textId="71D593F4" w:rsidR="00A42682" w:rsidRPr="004E0F02" w:rsidRDefault="00A42682" w:rsidP="004D2DA7">
      <w:pPr>
        <w:widowControl/>
        <w:numPr>
          <w:ilvl w:val="0"/>
          <w:numId w:val="2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nie została udostępniona</w:t>
      </w:r>
      <w:r w:rsidR="00E45B1D" w:rsidRPr="004E0F02">
        <w:rPr>
          <w:rFonts w:eastAsia="Calibri" w:cs="Times New Roman"/>
          <w:szCs w:val="24"/>
          <w:lang w:eastAsia="en-US"/>
        </w:rPr>
        <w:t xml:space="preserve"> w </w:t>
      </w:r>
      <w:r w:rsidRPr="004E0F02">
        <w:rPr>
          <w:rFonts w:eastAsia="Calibri" w:cs="Times New Roman"/>
          <w:szCs w:val="24"/>
          <w:lang w:eastAsia="en-US"/>
        </w:rPr>
        <w:t>BIP lub na portalu danych;</w:t>
      </w:r>
    </w:p>
    <w:p w14:paraId="28A4AFAA" w14:textId="7ACEB6CA" w:rsidR="00A42682" w:rsidRPr="004E0F02" w:rsidRDefault="00A42682" w:rsidP="004D2DA7">
      <w:pPr>
        <w:widowControl/>
        <w:numPr>
          <w:ilvl w:val="0"/>
          <w:numId w:val="2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została udostępniona</w:t>
      </w:r>
      <w:r w:rsidR="00E45B1D" w:rsidRPr="004E0F02">
        <w:rPr>
          <w:rFonts w:eastAsia="Calibri" w:cs="Times New Roman"/>
          <w:szCs w:val="24"/>
          <w:lang w:eastAsia="en-US"/>
        </w:rPr>
        <w:t xml:space="preserve"> w </w:t>
      </w:r>
      <w:r w:rsidRPr="004E0F02">
        <w:rPr>
          <w:rFonts w:eastAsia="Calibri" w:cs="Times New Roman"/>
          <w:szCs w:val="24"/>
          <w:lang w:eastAsia="en-US"/>
        </w:rPr>
        <w:t>systemie teleinformatycznym innym niż określony</w:t>
      </w:r>
      <w:r w:rsidR="00E45B1D" w:rsidRPr="004E0F02">
        <w:rPr>
          <w:rFonts w:eastAsia="Calibri" w:cs="Times New Roman"/>
          <w:szCs w:val="24"/>
          <w:lang w:eastAsia="en-US"/>
        </w:rPr>
        <w:t xml:space="preserve"> w pkt 1 i </w:t>
      </w:r>
      <w:r w:rsidRPr="004E0F02">
        <w:rPr>
          <w:rFonts w:eastAsia="Calibri" w:cs="Times New Roman"/>
          <w:szCs w:val="24"/>
          <w:lang w:eastAsia="en-US"/>
        </w:rPr>
        <w:t>nie zostały określone warunki ponownego wykorzystywania lub opłaty za ponowne wykorzystywanie albo nie poinformowano</w:t>
      </w:r>
      <w:r w:rsidR="00E45B1D" w:rsidRPr="004E0F02">
        <w:rPr>
          <w:rFonts w:eastAsia="Calibri" w:cs="Times New Roman"/>
          <w:szCs w:val="24"/>
          <w:lang w:eastAsia="en-US"/>
        </w:rPr>
        <w:t xml:space="preserve"> o </w:t>
      </w:r>
      <w:r w:rsidRPr="004E0F02">
        <w:rPr>
          <w:rFonts w:eastAsia="Calibri" w:cs="Times New Roman"/>
          <w:szCs w:val="24"/>
          <w:lang w:eastAsia="en-US"/>
        </w:rPr>
        <w:t>braku takich warunków lub opłat;</w:t>
      </w:r>
    </w:p>
    <w:p w14:paraId="50F3D8CF" w14:textId="77777777" w:rsidR="00A42682" w:rsidRPr="004E0F02" w:rsidRDefault="00A42682" w:rsidP="004D2DA7">
      <w:pPr>
        <w:widowControl/>
        <w:numPr>
          <w:ilvl w:val="0"/>
          <w:numId w:val="2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zainteresowany (potencjalny użytkownik) chce wykorzystać informację sektora publicznego, ale na innych warunkach, niż zostały dla tej informacji określone przez podmiot zobowiązany;</w:t>
      </w:r>
    </w:p>
    <w:p w14:paraId="35D1650D" w14:textId="3AFC411C" w:rsidR="00A42682" w:rsidRPr="004E0F02" w:rsidRDefault="00A42682" w:rsidP="004D2DA7">
      <w:pPr>
        <w:widowControl/>
        <w:numPr>
          <w:ilvl w:val="0"/>
          <w:numId w:val="22"/>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lastRenderedPageBreak/>
        <w:t>zainteresowany posiada już informację sektora publicznego uzyskaną lub przekazaną na podstawie innych ustaw określających zasady</w:t>
      </w:r>
      <w:r w:rsidR="00E45B1D" w:rsidRPr="004E0F02">
        <w:rPr>
          <w:rFonts w:eastAsia="Calibri" w:cs="Times New Roman"/>
          <w:szCs w:val="24"/>
          <w:lang w:eastAsia="en-US"/>
        </w:rPr>
        <w:t xml:space="preserve"> i </w:t>
      </w:r>
      <w:r w:rsidRPr="004E0F02">
        <w:rPr>
          <w:rFonts w:eastAsia="Calibri" w:cs="Times New Roman"/>
          <w:szCs w:val="24"/>
          <w:lang w:eastAsia="en-US"/>
        </w:rPr>
        <w:t>tryb dostępu do informacji będących informacjami sektora publicznego (np. uzyskał ją</w:t>
      </w:r>
      <w:r w:rsidR="00E45B1D" w:rsidRPr="004E0F02">
        <w:rPr>
          <w:rFonts w:eastAsia="Calibri" w:cs="Times New Roman"/>
          <w:szCs w:val="24"/>
          <w:lang w:eastAsia="en-US"/>
        </w:rPr>
        <w:t xml:space="preserve"> w </w:t>
      </w:r>
      <w:r w:rsidRPr="004E0F02">
        <w:rPr>
          <w:rFonts w:eastAsia="Calibri" w:cs="Times New Roman"/>
          <w:szCs w:val="24"/>
          <w:lang w:eastAsia="en-US"/>
        </w:rPr>
        <w:t>trybie ustawy</w:t>
      </w:r>
      <w:r w:rsidR="00E45B1D" w:rsidRPr="004E0F02">
        <w:rPr>
          <w:rFonts w:eastAsia="Calibri" w:cs="Times New Roman"/>
          <w:szCs w:val="24"/>
          <w:lang w:eastAsia="en-US"/>
        </w:rPr>
        <w:t xml:space="preserve"> o </w:t>
      </w:r>
      <w:r w:rsidRPr="004E0F02">
        <w:rPr>
          <w:rFonts w:eastAsia="Calibri" w:cs="Times New Roman"/>
          <w:szCs w:val="24"/>
          <w:lang w:eastAsia="en-US"/>
        </w:rPr>
        <w:t>dostępie do</w:t>
      </w:r>
      <w:r w:rsidR="006650E4" w:rsidRPr="004E0F02">
        <w:rPr>
          <w:rFonts w:eastAsia="Calibri" w:cs="Times New Roman"/>
          <w:szCs w:val="24"/>
          <w:lang w:eastAsia="en-US"/>
        </w:rPr>
        <w:t> </w:t>
      </w:r>
      <w:r w:rsidRPr="004E0F02">
        <w:rPr>
          <w:rFonts w:eastAsia="Calibri" w:cs="Times New Roman"/>
          <w:szCs w:val="24"/>
          <w:lang w:eastAsia="en-US"/>
        </w:rPr>
        <w:t>informacji publicznej)</w:t>
      </w:r>
      <w:r w:rsidR="00E45B1D" w:rsidRPr="004E0F02">
        <w:rPr>
          <w:rFonts w:eastAsia="Calibri" w:cs="Times New Roman"/>
          <w:szCs w:val="24"/>
          <w:lang w:eastAsia="en-US"/>
        </w:rPr>
        <w:t xml:space="preserve"> i </w:t>
      </w:r>
      <w:r w:rsidRPr="004E0F02">
        <w:rPr>
          <w:rFonts w:eastAsia="Calibri" w:cs="Times New Roman"/>
          <w:szCs w:val="24"/>
          <w:lang w:eastAsia="en-US"/>
        </w:rPr>
        <w:t>chce ją ponownie wykorzystywać.</w:t>
      </w:r>
    </w:p>
    <w:p w14:paraId="3D1E741F" w14:textId="13585275" w:rsidR="00A42682" w:rsidRPr="004E0F02" w:rsidRDefault="00A42682" w:rsidP="00B131AC">
      <w:pPr>
        <w:widowControl/>
        <w:spacing w:before="240" w:after="120" w:line="276" w:lineRule="auto"/>
        <w:jc w:val="both"/>
        <w:rPr>
          <w:rFonts w:eastAsia="Calibri" w:cs="Times New Roman"/>
          <w:szCs w:val="24"/>
          <w:lang w:eastAsia="en-US"/>
        </w:rPr>
      </w:pPr>
      <w:r w:rsidRPr="004E0F02">
        <w:rPr>
          <w:rFonts w:eastAsia="Calibri" w:cs="Times New Roman"/>
          <w:szCs w:val="24"/>
          <w:lang w:eastAsia="en-US"/>
        </w:rPr>
        <w:t>Wniosek może ponadto dotyczyć umożliwienia</w:t>
      </w:r>
      <w:r w:rsidR="00B225C0" w:rsidRPr="004E0F02">
        <w:rPr>
          <w:rFonts w:eastAsia="Calibri" w:cs="Times New Roman"/>
          <w:szCs w:val="24"/>
          <w:lang w:eastAsia="en-US"/>
        </w:rPr>
        <w:t xml:space="preserve"> </w:t>
      </w:r>
      <w:r w:rsidRPr="004E0F02">
        <w:rPr>
          <w:rFonts w:eastAsia="Calibri" w:cs="Times New Roman"/>
          <w:szCs w:val="24"/>
          <w:lang w:eastAsia="en-US"/>
        </w:rPr>
        <w:t>ponownego wykorzystywania,</w:t>
      </w:r>
      <w:r w:rsidR="00E45B1D" w:rsidRPr="004E0F02">
        <w:rPr>
          <w:rFonts w:eastAsia="Calibri" w:cs="Times New Roman"/>
          <w:szCs w:val="24"/>
          <w:lang w:eastAsia="en-US"/>
        </w:rPr>
        <w:t xml:space="preserve"> w </w:t>
      </w:r>
      <w:r w:rsidRPr="004E0F02">
        <w:rPr>
          <w:rFonts w:eastAsia="Calibri" w:cs="Times New Roman"/>
          <w:szCs w:val="24"/>
          <w:lang w:eastAsia="en-US"/>
        </w:rPr>
        <w:t>sposób stały</w:t>
      </w:r>
      <w:r w:rsidR="00E45B1D" w:rsidRPr="004E0F02">
        <w:rPr>
          <w:rFonts w:eastAsia="Calibri" w:cs="Times New Roman"/>
          <w:szCs w:val="24"/>
          <w:lang w:eastAsia="en-US"/>
        </w:rPr>
        <w:t xml:space="preserve"> i </w:t>
      </w:r>
      <w:r w:rsidRPr="004E0F02">
        <w:rPr>
          <w:rFonts w:eastAsia="Calibri" w:cs="Times New Roman"/>
          <w:szCs w:val="24"/>
          <w:lang w:eastAsia="en-US"/>
        </w:rPr>
        <w:t>bezpośredni</w:t>
      </w:r>
      <w:r w:rsidR="00E45B1D" w:rsidRPr="004E0F02">
        <w:rPr>
          <w:rFonts w:eastAsia="Calibri" w:cs="Times New Roman"/>
          <w:szCs w:val="24"/>
          <w:lang w:eastAsia="en-US"/>
        </w:rPr>
        <w:t xml:space="preserve"> w </w:t>
      </w:r>
      <w:r w:rsidRPr="004E0F02">
        <w:rPr>
          <w:rFonts w:eastAsia="Calibri" w:cs="Times New Roman"/>
          <w:szCs w:val="24"/>
          <w:lang w:eastAsia="en-US"/>
        </w:rPr>
        <w:t>czasie rzeczywistym, informacji sektora publicznego gromadzonych</w:t>
      </w:r>
      <w:r w:rsidR="00E45B1D" w:rsidRPr="004E0F02">
        <w:rPr>
          <w:rFonts w:eastAsia="Calibri" w:cs="Times New Roman"/>
          <w:szCs w:val="24"/>
          <w:lang w:eastAsia="en-US"/>
        </w:rPr>
        <w:t xml:space="preserve"> i </w:t>
      </w:r>
      <w:r w:rsidRPr="004E0F02">
        <w:rPr>
          <w:rFonts w:eastAsia="Calibri" w:cs="Times New Roman"/>
          <w:szCs w:val="24"/>
          <w:lang w:eastAsia="en-US"/>
        </w:rPr>
        <w:t>przechowywanych</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systemie teleinformatycznym podmiotu zobowiązanego (art. </w:t>
      </w:r>
      <w:r w:rsidR="00B225C0" w:rsidRPr="004E0F02">
        <w:rPr>
          <w:rFonts w:eastAsia="Calibri" w:cs="Times New Roman"/>
          <w:szCs w:val="24"/>
          <w:lang w:eastAsia="en-US"/>
        </w:rPr>
        <w:t xml:space="preserve">42 </w:t>
      </w:r>
      <w:r w:rsidR="00E45B1D" w:rsidRPr="004E0F02">
        <w:rPr>
          <w:rFonts w:eastAsia="Calibri" w:cs="Times New Roman"/>
          <w:szCs w:val="24"/>
          <w:lang w:eastAsia="en-US"/>
        </w:rPr>
        <w:t>ust. 2 </w:t>
      </w:r>
      <w:r w:rsidRPr="004E0F02">
        <w:rPr>
          <w:rFonts w:eastAsia="Calibri" w:cs="Times New Roman"/>
          <w:szCs w:val="24"/>
          <w:lang w:eastAsia="en-US"/>
        </w:rPr>
        <w:t>projektu ustawy).</w:t>
      </w:r>
    </w:p>
    <w:p w14:paraId="54599F47" w14:textId="2F7200A2"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Wniosek powinien zostać rozpatrzony niezwłocznie, nie później jednak niż 1</w:t>
      </w:r>
      <w:r w:rsidR="00E45B1D" w:rsidRPr="004E0F02">
        <w:rPr>
          <w:rFonts w:eastAsia="Calibri" w:cs="Times New Roman"/>
          <w:szCs w:val="24"/>
          <w:lang w:eastAsia="en-US"/>
        </w:rPr>
        <w:t>4 </w:t>
      </w:r>
      <w:r w:rsidRPr="004E0F02">
        <w:rPr>
          <w:rFonts w:eastAsia="Calibri" w:cs="Times New Roman"/>
          <w:szCs w:val="24"/>
          <w:lang w:eastAsia="en-US"/>
        </w:rPr>
        <w:t xml:space="preserve">dni od jego otrzymania (art. </w:t>
      </w:r>
      <w:r w:rsidR="00B225C0" w:rsidRPr="004E0F02">
        <w:rPr>
          <w:rFonts w:eastAsia="Calibri" w:cs="Times New Roman"/>
          <w:szCs w:val="24"/>
          <w:lang w:eastAsia="en-US"/>
        </w:rPr>
        <w:t xml:space="preserve">43 </w:t>
      </w:r>
      <w:r w:rsidR="00E45B1D" w:rsidRPr="004E0F02">
        <w:rPr>
          <w:rFonts w:eastAsia="Calibri" w:cs="Times New Roman"/>
          <w:szCs w:val="24"/>
          <w:lang w:eastAsia="en-US"/>
        </w:rPr>
        <w:t>ust. 1 </w:t>
      </w:r>
      <w:r w:rsidRPr="004E0F02">
        <w:rPr>
          <w:rFonts w:eastAsia="Calibri" w:cs="Times New Roman"/>
          <w:szCs w:val="24"/>
          <w:lang w:eastAsia="en-US"/>
        </w:rPr>
        <w:t>projektu ustawy). Projekt ustawy dopuszcza również możliwość przedłużenia terminu na rozpatrzenie wniosku jeżeli jest to uzasadnione poziomem skomplikowania sprawy.</w:t>
      </w:r>
      <w:r w:rsidR="00E45B1D" w:rsidRPr="004E0F02">
        <w:rPr>
          <w:rFonts w:eastAsia="Calibri" w:cs="Times New Roman"/>
          <w:szCs w:val="24"/>
          <w:lang w:eastAsia="en-US"/>
        </w:rPr>
        <w:t xml:space="preserve"> W </w:t>
      </w:r>
      <w:r w:rsidRPr="004E0F02">
        <w:rPr>
          <w:rFonts w:eastAsia="Calibri" w:cs="Times New Roman"/>
          <w:szCs w:val="24"/>
          <w:lang w:eastAsia="en-US"/>
        </w:rPr>
        <w:t>takim przypadku, kiedy wniosek nie może zostać rozpatrzony w</w:t>
      </w:r>
      <w:r w:rsidR="0022656F" w:rsidRPr="004E0F02">
        <w:rPr>
          <w:rFonts w:eastAsia="Calibri" w:cs="Times New Roman"/>
          <w:szCs w:val="24"/>
          <w:lang w:eastAsia="en-US"/>
        </w:rPr>
        <w:t> </w:t>
      </w:r>
      <w:r w:rsidRPr="004E0F02">
        <w:rPr>
          <w:rFonts w:eastAsia="Calibri" w:cs="Times New Roman"/>
          <w:szCs w:val="24"/>
          <w:lang w:eastAsia="en-US"/>
        </w:rPr>
        <w:t>terminie 1</w:t>
      </w:r>
      <w:r w:rsidR="00E45B1D" w:rsidRPr="004E0F02">
        <w:rPr>
          <w:rFonts w:eastAsia="Calibri" w:cs="Times New Roman"/>
          <w:szCs w:val="24"/>
          <w:lang w:eastAsia="en-US"/>
        </w:rPr>
        <w:t>4 </w:t>
      </w:r>
      <w:r w:rsidRPr="004E0F02">
        <w:rPr>
          <w:rFonts w:eastAsia="Calibri" w:cs="Times New Roman"/>
          <w:szCs w:val="24"/>
          <w:lang w:eastAsia="en-US"/>
        </w:rPr>
        <w:t>dni, podmiot zobowiązany zawiadamia</w:t>
      </w:r>
      <w:r w:rsidR="00E45B1D" w:rsidRPr="004E0F02">
        <w:rPr>
          <w:rFonts w:eastAsia="Calibri" w:cs="Times New Roman"/>
          <w:szCs w:val="24"/>
          <w:lang w:eastAsia="en-US"/>
        </w:rPr>
        <w:t xml:space="preserve"> w </w:t>
      </w:r>
      <w:r w:rsidRPr="004E0F02">
        <w:rPr>
          <w:rFonts w:eastAsia="Calibri" w:cs="Times New Roman"/>
          <w:szCs w:val="24"/>
          <w:lang w:eastAsia="en-US"/>
        </w:rPr>
        <w:t>tym terminie wnioskodawcę o</w:t>
      </w:r>
      <w:r w:rsidR="0022656F" w:rsidRPr="004E0F02">
        <w:rPr>
          <w:rFonts w:eastAsia="Calibri" w:cs="Times New Roman"/>
          <w:szCs w:val="24"/>
          <w:lang w:eastAsia="en-US"/>
        </w:rPr>
        <w:t> </w:t>
      </w:r>
      <w:r w:rsidRPr="004E0F02">
        <w:rPr>
          <w:rFonts w:eastAsia="Calibri" w:cs="Times New Roman"/>
          <w:szCs w:val="24"/>
          <w:lang w:eastAsia="en-US"/>
        </w:rPr>
        <w:t>przyczynach opóźnienia oraz</w:t>
      </w:r>
      <w:r w:rsidR="00E45B1D" w:rsidRPr="004E0F02">
        <w:rPr>
          <w:rFonts w:eastAsia="Calibri" w:cs="Times New Roman"/>
          <w:szCs w:val="24"/>
          <w:lang w:eastAsia="en-US"/>
        </w:rPr>
        <w:t xml:space="preserve"> o </w:t>
      </w:r>
      <w:r w:rsidRPr="004E0F02">
        <w:rPr>
          <w:rFonts w:eastAsia="Calibri" w:cs="Times New Roman"/>
          <w:szCs w:val="24"/>
          <w:lang w:eastAsia="en-US"/>
        </w:rPr>
        <w:t>terminie,</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jakim rozpatrzy wniosek, nie dłuższym jednak niż </w:t>
      </w:r>
      <w:r w:rsidR="00E45B1D" w:rsidRPr="004E0F02">
        <w:rPr>
          <w:rFonts w:eastAsia="Calibri" w:cs="Times New Roman"/>
          <w:szCs w:val="24"/>
          <w:lang w:eastAsia="en-US"/>
        </w:rPr>
        <w:t>2 </w:t>
      </w:r>
      <w:r w:rsidRPr="004E0F02">
        <w:rPr>
          <w:rFonts w:eastAsia="Calibri" w:cs="Times New Roman"/>
          <w:szCs w:val="24"/>
          <w:lang w:eastAsia="en-US"/>
        </w:rPr>
        <w:t xml:space="preserve">miesiące od dnia złożenia tego wniosku (art. </w:t>
      </w:r>
      <w:r w:rsidR="00B225C0" w:rsidRPr="004E0F02">
        <w:rPr>
          <w:rFonts w:eastAsia="Calibri" w:cs="Times New Roman"/>
          <w:szCs w:val="24"/>
          <w:lang w:eastAsia="en-US"/>
        </w:rPr>
        <w:t xml:space="preserve">43 </w:t>
      </w:r>
      <w:r w:rsidR="00E45B1D" w:rsidRPr="004E0F02">
        <w:rPr>
          <w:rFonts w:eastAsia="Calibri" w:cs="Times New Roman"/>
          <w:szCs w:val="24"/>
          <w:lang w:eastAsia="en-US"/>
        </w:rPr>
        <w:t>ust. 2 </w:t>
      </w:r>
      <w:r w:rsidRPr="004E0F02">
        <w:rPr>
          <w:rFonts w:eastAsia="Calibri" w:cs="Times New Roman"/>
          <w:szCs w:val="24"/>
          <w:lang w:eastAsia="en-US"/>
        </w:rPr>
        <w:t>projektu ustawy).</w:t>
      </w:r>
    </w:p>
    <w:p w14:paraId="0D4054B7" w14:textId="38285E47"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w:t>
      </w:r>
      <w:r w:rsidR="00E45B1D" w:rsidRPr="004E0F02">
        <w:rPr>
          <w:rFonts w:eastAsia="Calibri" w:cs="Times New Roman"/>
          <w:szCs w:val="24"/>
          <w:lang w:eastAsia="en-US"/>
        </w:rPr>
        <w:t xml:space="preserve"> z art. </w:t>
      </w:r>
      <w:r w:rsidR="00B225C0" w:rsidRPr="004E0F02">
        <w:rPr>
          <w:rFonts w:eastAsia="Calibri" w:cs="Times New Roman"/>
          <w:szCs w:val="24"/>
          <w:lang w:eastAsia="en-US"/>
        </w:rPr>
        <w:t xml:space="preserve">42 </w:t>
      </w:r>
      <w:r w:rsidR="00E45B1D" w:rsidRPr="004E0F02">
        <w:rPr>
          <w:rFonts w:eastAsia="Calibri" w:cs="Times New Roman"/>
          <w:szCs w:val="24"/>
          <w:lang w:eastAsia="en-US"/>
        </w:rPr>
        <w:t>ust. 5 </w:t>
      </w:r>
      <w:r w:rsidRPr="004E0F02">
        <w:rPr>
          <w:rFonts w:eastAsia="Calibri" w:cs="Times New Roman"/>
          <w:szCs w:val="24"/>
          <w:lang w:eastAsia="en-US"/>
        </w:rPr>
        <w:t>projektu ustawy wniosek</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 informacji sektora publicznego można złożyć</w:t>
      </w:r>
      <w:r w:rsidR="00E45B1D" w:rsidRPr="004E0F02">
        <w:rPr>
          <w:rFonts w:eastAsia="Calibri" w:cs="Times New Roman"/>
          <w:szCs w:val="24"/>
          <w:lang w:eastAsia="en-US"/>
        </w:rPr>
        <w:t xml:space="preserve"> w </w:t>
      </w:r>
      <w:r w:rsidRPr="004E0F02">
        <w:rPr>
          <w:rFonts w:eastAsia="Calibri" w:cs="Times New Roman"/>
          <w:szCs w:val="24"/>
          <w:lang w:eastAsia="en-US"/>
        </w:rPr>
        <w:t>postaci papierowej albo elektronicznej. Treść wniosku określają przepisy</w:t>
      </w:r>
      <w:r w:rsidR="00E45B1D" w:rsidRPr="004E0F02">
        <w:rPr>
          <w:rFonts w:eastAsia="Calibri" w:cs="Times New Roman"/>
          <w:szCs w:val="24"/>
          <w:lang w:eastAsia="en-US"/>
        </w:rPr>
        <w:t xml:space="preserve"> art. </w:t>
      </w:r>
      <w:r w:rsidR="00B225C0" w:rsidRPr="004E0F02">
        <w:rPr>
          <w:rFonts w:eastAsia="Calibri" w:cs="Times New Roman"/>
          <w:szCs w:val="24"/>
          <w:lang w:eastAsia="en-US"/>
        </w:rPr>
        <w:t xml:space="preserve">42 </w:t>
      </w:r>
      <w:r w:rsidR="00E45B1D" w:rsidRPr="004E0F02">
        <w:rPr>
          <w:rFonts w:eastAsia="Calibri" w:cs="Times New Roman"/>
          <w:szCs w:val="24"/>
          <w:lang w:eastAsia="en-US"/>
        </w:rPr>
        <w:t>ust. 3 i 4 </w:t>
      </w:r>
      <w:r w:rsidRPr="004E0F02">
        <w:rPr>
          <w:rFonts w:eastAsia="Calibri" w:cs="Times New Roman"/>
          <w:szCs w:val="24"/>
          <w:lang w:eastAsia="en-US"/>
        </w:rPr>
        <w:t>projektu ustawy, które m.in. stanowią</w:t>
      </w:r>
      <w:r w:rsidR="00E45B1D" w:rsidRPr="004E0F02">
        <w:rPr>
          <w:rFonts w:eastAsia="Calibri" w:cs="Times New Roman"/>
          <w:szCs w:val="24"/>
          <w:lang w:eastAsia="en-US"/>
        </w:rPr>
        <w:t xml:space="preserve"> o </w:t>
      </w:r>
      <w:r w:rsidRPr="004E0F02">
        <w:rPr>
          <w:rFonts w:eastAsia="Calibri" w:cs="Times New Roman"/>
          <w:szCs w:val="24"/>
          <w:lang w:eastAsia="en-US"/>
        </w:rPr>
        <w:t>obowiązku opisania rodzaju działalności, w której informacje sektora publicznego będą ponownie wykorzystywane, w szczególności wskazanie dóbr, produktów lub usług, dla jakich wnioskodawca domaga się informacji sektora publicznego do ponownego wykorzystywania. Rozwiązanie takie jest korzystne zarówno dla podmiotu zobowiązanego</w:t>
      </w:r>
      <w:r w:rsidR="00E45B1D" w:rsidRPr="004E0F02">
        <w:rPr>
          <w:rFonts w:eastAsia="Calibri" w:cs="Times New Roman"/>
          <w:szCs w:val="24"/>
          <w:lang w:eastAsia="en-US"/>
        </w:rPr>
        <w:t xml:space="preserve"> w </w:t>
      </w:r>
      <w:r w:rsidRPr="004E0F02">
        <w:rPr>
          <w:rFonts w:eastAsia="Calibri" w:cs="Times New Roman"/>
          <w:szCs w:val="24"/>
          <w:lang w:eastAsia="en-US"/>
        </w:rPr>
        <w:t>zakresie wyboru trybu jak</w:t>
      </w:r>
      <w:r w:rsidR="00E45B1D" w:rsidRPr="004E0F02">
        <w:rPr>
          <w:rFonts w:eastAsia="Calibri" w:cs="Times New Roman"/>
          <w:szCs w:val="24"/>
          <w:lang w:eastAsia="en-US"/>
        </w:rPr>
        <w:t xml:space="preserve"> i </w:t>
      </w:r>
      <w:r w:rsidRPr="004E0F02">
        <w:rPr>
          <w:rFonts w:eastAsia="Calibri" w:cs="Times New Roman"/>
          <w:szCs w:val="24"/>
          <w:lang w:eastAsia="en-US"/>
        </w:rPr>
        <w:t>wnioskodawcy. Ponadto wymóg określenia celów ponownego wykorzystywania pozwoli na precyzyjne ustalenie warunków ponownego wykorzystywania przez podmioty zobowiązane. Jest to istotne</w:t>
      </w:r>
      <w:r w:rsidR="00E45B1D" w:rsidRPr="004E0F02">
        <w:rPr>
          <w:rFonts w:eastAsia="Calibri" w:cs="Times New Roman"/>
          <w:szCs w:val="24"/>
          <w:lang w:eastAsia="en-US"/>
        </w:rPr>
        <w:t xml:space="preserve"> w </w:t>
      </w:r>
      <w:r w:rsidRPr="004E0F02">
        <w:rPr>
          <w:rFonts w:eastAsia="Calibri" w:cs="Times New Roman"/>
          <w:szCs w:val="24"/>
          <w:lang w:eastAsia="en-US"/>
        </w:rPr>
        <w:t>szczególności w przypadku podmiotów będących muzeami państwowymi, muzeami samorządowymi, bibliotekami publicznymi, bibliotekami naukowymi lub archiwami, które zyskają możliwość fakultatywnego określania warunków ponownego wykorzystywania. Taki wymóg wydaje się także uzasadniony z uwagi na zasadę niedyskryminacji określoną</w:t>
      </w:r>
      <w:r w:rsidR="00E45B1D" w:rsidRPr="004E0F02">
        <w:rPr>
          <w:rFonts w:eastAsia="Calibri" w:cs="Times New Roman"/>
          <w:szCs w:val="24"/>
          <w:lang w:eastAsia="en-US"/>
        </w:rPr>
        <w:t xml:space="preserve"> w art. 8 </w:t>
      </w:r>
      <w:r w:rsidRPr="004E0F02">
        <w:rPr>
          <w:rFonts w:eastAsia="Calibri" w:cs="Times New Roman"/>
          <w:szCs w:val="24"/>
          <w:lang w:eastAsia="en-US"/>
        </w:rPr>
        <w:t>projektu ustawy. Zasada ta gwarantuje, że podmiot zobowiązany przekazuje informacje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celu ponownego wykorzystywania w porównywalnych sytuacjach na takich samych warunkach.</w:t>
      </w:r>
      <w:r w:rsidR="00E45B1D" w:rsidRPr="004E0F02">
        <w:rPr>
          <w:rFonts w:eastAsia="Calibri" w:cs="Times New Roman"/>
          <w:szCs w:val="24"/>
          <w:lang w:eastAsia="en-US"/>
        </w:rPr>
        <w:t xml:space="preserve"> W </w:t>
      </w:r>
      <w:r w:rsidRPr="004E0F02">
        <w:rPr>
          <w:rFonts w:eastAsia="Calibri" w:cs="Times New Roman"/>
          <w:szCs w:val="24"/>
          <w:lang w:eastAsia="en-US"/>
        </w:rPr>
        <w:t>przypadku niespełnienia warunków formalnych wniosku wzywa się wnioskodawcę do uzupełnienia braków, wraz z</w:t>
      </w:r>
      <w:r w:rsidR="00CE1F28" w:rsidRPr="004E0F02">
        <w:rPr>
          <w:rFonts w:eastAsia="Calibri" w:cs="Times New Roman"/>
          <w:szCs w:val="24"/>
          <w:lang w:eastAsia="en-US"/>
        </w:rPr>
        <w:t> </w:t>
      </w:r>
      <w:r w:rsidRPr="004E0F02">
        <w:rPr>
          <w:rFonts w:eastAsia="Calibri" w:cs="Times New Roman"/>
          <w:szCs w:val="24"/>
          <w:lang w:eastAsia="en-US"/>
        </w:rPr>
        <w:t>pouczeniem, że ich nieusunięcie</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terminie </w:t>
      </w:r>
      <w:r w:rsidR="00E45B1D" w:rsidRPr="004E0F02">
        <w:rPr>
          <w:rFonts w:eastAsia="Calibri" w:cs="Times New Roman"/>
          <w:szCs w:val="24"/>
          <w:lang w:eastAsia="en-US"/>
        </w:rPr>
        <w:t>7 </w:t>
      </w:r>
      <w:r w:rsidRPr="004E0F02">
        <w:rPr>
          <w:rFonts w:eastAsia="Calibri" w:cs="Times New Roman"/>
          <w:szCs w:val="24"/>
          <w:lang w:eastAsia="en-US"/>
        </w:rPr>
        <w:t xml:space="preserve">dni od dnia otrzymania wezwania spowoduje pozostawienie wniosku bez rozpoznania (art. </w:t>
      </w:r>
      <w:r w:rsidR="00B225C0" w:rsidRPr="004E0F02">
        <w:rPr>
          <w:rFonts w:eastAsia="Calibri" w:cs="Times New Roman"/>
          <w:szCs w:val="24"/>
          <w:lang w:eastAsia="en-US"/>
        </w:rPr>
        <w:t xml:space="preserve">42 </w:t>
      </w:r>
      <w:r w:rsidR="00E45B1D" w:rsidRPr="004E0F02">
        <w:rPr>
          <w:rFonts w:eastAsia="Calibri" w:cs="Times New Roman"/>
          <w:szCs w:val="24"/>
          <w:lang w:eastAsia="en-US"/>
        </w:rPr>
        <w:t>ust. 6 </w:t>
      </w:r>
      <w:r w:rsidRPr="004E0F02">
        <w:rPr>
          <w:rFonts w:eastAsia="Calibri" w:cs="Times New Roman"/>
          <w:szCs w:val="24"/>
          <w:lang w:eastAsia="en-US"/>
        </w:rPr>
        <w:t>projektu ustawy).</w:t>
      </w:r>
    </w:p>
    <w:p w14:paraId="77FEB5DC" w14:textId="38373188"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 wyniku realizacji wniosku</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w:t>
      </w:r>
      <w:r w:rsidR="00E45B1D" w:rsidRPr="004E0F02">
        <w:rPr>
          <w:rFonts w:eastAsia="Calibri" w:cs="Times New Roman"/>
          <w:szCs w:val="24"/>
          <w:lang w:eastAsia="en-US"/>
        </w:rPr>
        <w:t xml:space="preserve"> z </w:t>
      </w:r>
      <w:r w:rsidRPr="004E0F02">
        <w:rPr>
          <w:rFonts w:eastAsia="Calibri" w:cs="Times New Roman"/>
          <w:szCs w:val="24"/>
          <w:lang w:eastAsia="en-US"/>
        </w:rPr>
        <w:t>wyjątkiem wniosku</w:t>
      </w:r>
      <w:r w:rsidR="00E45B1D" w:rsidRPr="004E0F02">
        <w:rPr>
          <w:rFonts w:eastAsia="Calibri" w:cs="Times New Roman"/>
          <w:szCs w:val="24"/>
          <w:lang w:eastAsia="en-US"/>
        </w:rPr>
        <w:t xml:space="preserve"> o </w:t>
      </w:r>
      <w:r w:rsidRPr="004E0F02">
        <w:rPr>
          <w:rFonts w:eastAsia="Calibri" w:cs="Times New Roman"/>
          <w:szCs w:val="24"/>
          <w:lang w:eastAsia="en-US"/>
        </w:rPr>
        <w:t xml:space="preserve">ponowne wykorzystywanie </w:t>
      </w:r>
      <w:r w:rsidR="00D052E4" w:rsidRPr="004E0F02">
        <w:rPr>
          <w:rFonts w:eastAsia="Calibri" w:cs="Times New Roman"/>
          <w:szCs w:val="24"/>
          <w:lang w:eastAsia="en-US"/>
        </w:rPr>
        <w:t>danych</w:t>
      </w:r>
      <w:r w:rsidR="00E45B1D" w:rsidRPr="004E0F02">
        <w:rPr>
          <w:rFonts w:eastAsia="Calibri" w:cs="Times New Roman"/>
          <w:szCs w:val="24"/>
          <w:lang w:eastAsia="en-US"/>
        </w:rPr>
        <w:t xml:space="preserve"> w </w:t>
      </w:r>
      <w:r w:rsidRPr="004E0F02">
        <w:rPr>
          <w:rFonts w:eastAsia="Calibri" w:cs="Times New Roman"/>
          <w:szCs w:val="24"/>
          <w:lang w:eastAsia="en-US"/>
        </w:rPr>
        <w:t>sposób stały</w:t>
      </w:r>
      <w:r w:rsidR="00E45B1D" w:rsidRPr="004E0F02">
        <w:rPr>
          <w:rFonts w:eastAsia="Calibri" w:cs="Times New Roman"/>
          <w:szCs w:val="24"/>
          <w:lang w:eastAsia="en-US"/>
        </w:rPr>
        <w:t xml:space="preserve"> i </w:t>
      </w:r>
      <w:r w:rsidRPr="004E0F02">
        <w:rPr>
          <w:rFonts w:eastAsia="Calibri" w:cs="Times New Roman"/>
          <w:szCs w:val="24"/>
          <w:lang w:eastAsia="en-US"/>
        </w:rPr>
        <w:t>bezpośredni,</w:t>
      </w:r>
      <w:r w:rsidR="00E45B1D" w:rsidRPr="004E0F02">
        <w:rPr>
          <w:rFonts w:eastAsia="Calibri" w:cs="Times New Roman"/>
          <w:szCs w:val="24"/>
          <w:lang w:eastAsia="en-US"/>
        </w:rPr>
        <w:t xml:space="preserve"> o </w:t>
      </w:r>
      <w:r w:rsidRPr="004E0F02">
        <w:rPr>
          <w:rFonts w:eastAsia="Calibri" w:cs="Times New Roman"/>
          <w:szCs w:val="24"/>
          <w:lang w:eastAsia="en-US"/>
        </w:rPr>
        <w:t>którym mowa</w:t>
      </w:r>
      <w:r w:rsidR="00E45B1D" w:rsidRPr="004E0F02">
        <w:rPr>
          <w:rFonts w:eastAsia="Calibri" w:cs="Times New Roman"/>
          <w:szCs w:val="24"/>
          <w:lang w:eastAsia="en-US"/>
        </w:rPr>
        <w:t xml:space="preserve"> w art. </w:t>
      </w:r>
      <w:r w:rsidR="00B225C0" w:rsidRPr="004E0F02">
        <w:rPr>
          <w:rFonts w:eastAsia="Calibri" w:cs="Times New Roman"/>
          <w:szCs w:val="24"/>
          <w:lang w:eastAsia="en-US"/>
        </w:rPr>
        <w:t xml:space="preserve">42 </w:t>
      </w:r>
      <w:r w:rsidR="00E45B1D" w:rsidRPr="004E0F02">
        <w:rPr>
          <w:rFonts w:eastAsia="Calibri" w:cs="Times New Roman"/>
          <w:szCs w:val="24"/>
          <w:lang w:eastAsia="en-US"/>
        </w:rPr>
        <w:t>ust. 2 </w:t>
      </w:r>
      <w:r w:rsidRPr="004E0F02">
        <w:rPr>
          <w:rFonts w:eastAsia="Calibri" w:cs="Times New Roman"/>
          <w:szCs w:val="24"/>
          <w:lang w:eastAsia="en-US"/>
        </w:rPr>
        <w:t>projektu ustawy, podmiot zobowiązany:</w:t>
      </w:r>
    </w:p>
    <w:p w14:paraId="0193C0C5" w14:textId="5E83FB01" w:rsidR="00A42682" w:rsidRPr="004E0F02" w:rsidRDefault="00A42682" w:rsidP="004D2DA7">
      <w:pPr>
        <w:widowControl/>
        <w:numPr>
          <w:ilvl w:val="0"/>
          <w:numId w:val="23"/>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przekazuje informację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celu ponownego wykorzystywania bez ograniczeń warunkami (bez określania warunków ponownego wykorzystywania);</w:t>
      </w:r>
    </w:p>
    <w:p w14:paraId="69CD6FC1" w14:textId="0848DD07" w:rsidR="00B225C0" w:rsidRPr="004E0F02" w:rsidRDefault="00B225C0" w:rsidP="00B225C0">
      <w:pPr>
        <w:widowControl/>
        <w:numPr>
          <w:ilvl w:val="0"/>
          <w:numId w:val="23"/>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informuje o braku informacji sektora publicznego wskazanej we wniosku;</w:t>
      </w:r>
    </w:p>
    <w:p w14:paraId="1C57052F" w14:textId="7B6477F6" w:rsidR="00A42682" w:rsidRPr="004E0F02" w:rsidRDefault="00A42682" w:rsidP="004D2DA7">
      <w:pPr>
        <w:widowControl/>
        <w:numPr>
          <w:ilvl w:val="0"/>
          <w:numId w:val="23"/>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lastRenderedPageBreak/>
        <w:t xml:space="preserve">w przypadku posiadania informacji sektora publicznego przez wnioskodawcę </w:t>
      </w:r>
      <w:r w:rsidR="00E45B1D" w:rsidRPr="004E0F02">
        <w:rPr>
          <w:rFonts w:eastAsia="Calibri" w:cs="Times New Roman"/>
          <w:szCs w:val="24"/>
          <w:lang w:eastAsia="en-US"/>
        </w:rPr>
        <w:noBreakHyphen/>
        <w:t xml:space="preserve"> </w:t>
      </w:r>
      <w:r w:rsidRPr="004E0F02">
        <w:rPr>
          <w:rFonts w:eastAsia="Calibri" w:cs="Times New Roman"/>
          <w:szCs w:val="24"/>
          <w:lang w:eastAsia="en-US"/>
        </w:rPr>
        <w:t>zawiadamia o braku ograniczenia warunkami;</w:t>
      </w:r>
    </w:p>
    <w:p w14:paraId="516E97B8" w14:textId="05A4E7E4" w:rsidR="00A42682" w:rsidRPr="004E0F02" w:rsidRDefault="00A42682" w:rsidP="002E7269">
      <w:pPr>
        <w:widowControl/>
        <w:numPr>
          <w:ilvl w:val="0"/>
          <w:numId w:val="23"/>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przedstawia wnioskodawcy ofertę zawierającą warunki ponownego wykorzystywania informacji sektora publicznego</w:t>
      </w:r>
      <w:r w:rsidR="002E7269" w:rsidRPr="004E0F02">
        <w:rPr>
          <w:rFonts w:eastAsia="Calibri" w:cs="Times New Roman"/>
          <w:szCs w:val="24"/>
          <w:lang w:eastAsia="en-US"/>
        </w:rPr>
        <w:t xml:space="preserve"> </w:t>
      </w:r>
      <w:r w:rsidR="00B225C0" w:rsidRPr="004E0F02">
        <w:rPr>
          <w:rFonts w:eastAsia="Calibri" w:cs="Times New Roman"/>
          <w:szCs w:val="24"/>
          <w:lang w:eastAsia="en-US"/>
        </w:rPr>
        <w:t>lub informację o</w:t>
      </w:r>
      <w:r w:rsidRPr="004E0F02">
        <w:rPr>
          <w:rFonts w:eastAsia="Calibri" w:cs="Times New Roman"/>
          <w:szCs w:val="24"/>
          <w:lang w:eastAsia="en-US"/>
        </w:rPr>
        <w:t xml:space="preserve"> </w:t>
      </w:r>
      <w:r w:rsidR="00B225C0" w:rsidRPr="004E0F02">
        <w:rPr>
          <w:rFonts w:eastAsia="Calibri" w:cs="Times New Roman"/>
          <w:szCs w:val="24"/>
          <w:lang w:eastAsia="en-US"/>
        </w:rPr>
        <w:t xml:space="preserve">wysokości </w:t>
      </w:r>
      <w:r w:rsidRPr="004E0F02">
        <w:rPr>
          <w:rFonts w:eastAsia="Calibri" w:cs="Times New Roman"/>
          <w:szCs w:val="24"/>
          <w:lang w:eastAsia="en-US"/>
        </w:rPr>
        <w:t>opłat za ponowne wykorzystywanie</w:t>
      </w:r>
      <w:r w:rsidR="002E7269" w:rsidRPr="004E0F02">
        <w:rPr>
          <w:rFonts w:eastAsia="Calibri" w:cs="Times New Roman"/>
          <w:szCs w:val="24"/>
          <w:lang w:eastAsia="en-US"/>
        </w:rPr>
        <w:t xml:space="preserve"> (</w:t>
      </w:r>
      <w:r w:rsidRPr="004E0F02">
        <w:rPr>
          <w:rFonts w:eastAsia="Calibri" w:cs="Times New Roman"/>
          <w:szCs w:val="24"/>
          <w:lang w:eastAsia="en-US"/>
        </w:rPr>
        <w:t>jeżeli są przewidziane</w:t>
      </w:r>
      <w:r w:rsidR="002E7269" w:rsidRPr="004E0F02">
        <w:rPr>
          <w:rFonts w:eastAsia="Calibri" w:cs="Times New Roman"/>
          <w:szCs w:val="24"/>
          <w:lang w:eastAsia="en-US"/>
        </w:rPr>
        <w:t>) lub w przypadku, o którym mowa w art. 10 ust. 4, informację o przyczynach braku możliwości przekazania informacji sektora publicznego i wskazanie w jaki sposób lub w jakiej formie informacja sektora publicznego może zostać przekazana;</w:t>
      </w:r>
      <w:r w:rsidRPr="004E0F02">
        <w:rPr>
          <w:rFonts w:eastAsia="Calibri" w:cs="Times New Roman"/>
          <w:szCs w:val="24"/>
          <w:lang w:eastAsia="en-US"/>
        </w:rPr>
        <w:t>;</w:t>
      </w:r>
    </w:p>
    <w:p w14:paraId="1ABF434D" w14:textId="1FAFC895" w:rsidR="00A42682" w:rsidRPr="004E0F02" w:rsidRDefault="00A42682" w:rsidP="004D2DA7">
      <w:pPr>
        <w:widowControl/>
        <w:numPr>
          <w:ilvl w:val="0"/>
          <w:numId w:val="23"/>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odmawia,</w:t>
      </w:r>
      <w:r w:rsidR="00E45B1D" w:rsidRPr="004E0F02">
        <w:rPr>
          <w:rFonts w:eastAsia="Calibri" w:cs="Times New Roman"/>
          <w:szCs w:val="24"/>
          <w:lang w:eastAsia="en-US"/>
        </w:rPr>
        <w:t xml:space="preserve"> w </w:t>
      </w:r>
      <w:r w:rsidRPr="004E0F02">
        <w:rPr>
          <w:rFonts w:eastAsia="Calibri" w:cs="Times New Roman"/>
          <w:szCs w:val="24"/>
          <w:lang w:eastAsia="en-US"/>
        </w:rPr>
        <w:t>drodze decyzji, ponownego wykorzystywania informacji sektora publicznego.</w:t>
      </w:r>
    </w:p>
    <w:p w14:paraId="3685ADDA" w14:textId="77FD680A"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Zainteresowanym zostanie zapewniona możliwość kwestionowania treści poszczególnych warunków,</w:t>
      </w:r>
      <w:r w:rsidR="00E45B1D" w:rsidRPr="004E0F02">
        <w:rPr>
          <w:rFonts w:eastAsia="Calibri" w:cs="Times New Roman"/>
          <w:szCs w:val="24"/>
          <w:lang w:eastAsia="en-US"/>
        </w:rPr>
        <w:t xml:space="preserve"> a </w:t>
      </w:r>
      <w:r w:rsidRPr="004E0F02">
        <w:rPr>
          <w:rFonts w:eastAsia="Calibri" w:cs="Times New Roman"/>
          <w:szCs w:val="24"/>
          <w:lang w:eastAsia="en-US"/>
        </w:rPr>
        <w:t>także wysokości opłat za ponowne wykorzystywanie informacji sektora publicznego. Wnioskodawca, który otrzyma ofertę,</w:t>
      </w:r>
      <w:r w:rsidR="00E45B1D" w:rsidRPr="004E0F02">
        <w:rPr>
          <w:rFonts w:eastAsia="Calibri" w:cs="Times New Roman"/>
          <w:szCs w:val="24"/>
          <w:lang w:eastAsia="en-US"/>
        </w:rPr>
        <w:t xml:space="preserve"> o </w:t>
      </w:r>
      <w:r w:rsidRPr="004E0F02">
        <w:rPr>
          <w:rFonts w:eastAsia="Calibri" w:cs="Times New Roman"/>
          <w:szCs w:val="24"/>
          <w:lang w:eastAsia="en-US"/>
        </w:rPr>
        <w:t>której mowa</w:t>
      </w:r>
      <w:r w:rsidR="00E45B1D" w:rsidRPr="004E0F02">
        <w:rPr>
          <w:rFonts w:eastAsia="Calibri" w:cs="Times New Roman"/>
          <w:szCs w:val="24"/>
          <w:lang w:eastAsia="en-US"/>
        </w:rPr>
        <w:t xml:space="preserve"> w pkt </w:t>
      </w:r>
      <w:r w:rsidRPr="004E0F02">
        <w:rPr>
          <w:rFonts w:eastAsia="Calibri" w:cs="Times New Roman"/>
          <w:szCs w:val="24"/>
          <w:lang w:eastAsia="en-US"/>
        </w:rPr>
        <w:t>3, może,</w:t>
      </w:r>
      <w:r w:rsidR="00E45B1D" w:rsidRPr="004E0F02">
        <w:rPr>
          <w:rFonts w:eastAsia="Calibri" w:cs="Times New Roman"/>
          <w:szCs w:val="24"/>
          <w:lang w:eastAsia="en-US"/>
        </w:rPr>
        <w:t xml:space="preserve"> w </w:t>
      </w:r>
      <w:r w:rsidRPr="004E0F02">
        <w:rPr>
          <w:rFonts w:eastAsia="Calibri" w:cs="Times New Roman"/>
          <w:szCs w:val="24"/>
          <w:lang w:eastAsia="en-US"/>
        </w:rPr>
        <w:t>terminie 1</w:t>
      </w:r>
      <w:r w:rsidR="00E45B1D" w:rsidRPr="004E0F02">
        <w:rPr>
          <w:rFonts w:eastAsia="Calibri" w:cs="Times New Roman"/>
          <w:szCs w:val="24"/>
          <w:lang w:eastAsia="en-US"/>
        </w:rPr>
        <w:t>4 </w:t>
      </w:r>
      <w:r w:rsidRPr="004E0F02">
        <w:rPr>
          <w:rFonts w:eastAsia="Calibri" w:cs="Times New Roman"/>
          <w:szCs w:val="24"/>
          <w:lang w:eastAsia="en-US"/>
        </w:rPr>
        <w:t>dni od dnia jej otrzymania, złożyć sprzeciw</w:t>
      </w:r>
      <w:r w:rsidR="00E45B1D" w:rsidRPr="004E0F02">
        <w:rPr>
          <w:rFonts w:eastAsia="Calibri" w:cs="Times New Roman"/>
          <w:szCs w:val="24"/>
          <w:lang w:eastAsia="en-US"/>
        </w:rPr>
        <w:t xml:space="preserve"> z </w:t>
      </w:r>
      <w:r w:rsidRPr="004E0F02">
        <w:rPr>
          <w:rFonts w:eastAsia="Calibri" w:cs="Times New Roman"/>
          <w:szCs w:val="24"/>
          <w:lang w:eastAsia="en-US"/>
        </w:rPr>
        <w:t>powodu naruszenia przepisów ustawy albo poinformować</w:t>
      </w:r>
      <w:r w:rsidR="00E45B1D" w:rsidRPr="004E0F02">
        <w:rPr>
          <w:rFonts w:eastAsia="Calibri" w:cs="Times New Roman"/>
          <w:szCs w:val="24"/>
          <w:lang w:eastAsia="en-US"/>
        </w:rPr>
        <w:t xml:space="preserve"> o </w:t>
      </w:r>
      <w:r w:rsidRPr="004E0F02">
        <w:rPr>
          <w:rFonts w:eastAsia="Calibri" w:cs="Times New Roman"/>
          <w:szCs w:val="24"/>
          <w:lang w:eastAsia="en-US"/>
        </w:rPr>
        <w:t>jej przyjęciu. Brak reakcji wnioskodawcy</w:t>
      </w:r>
      <w:r w:rsidR="00E45B1D" w:rsidRPr="004E0F02">
        <w:rPr>
          <w:rFonts w:eastAsia="Calibri" w:cs="Times New Roman"/>
          <w:szCs w:val="24"/>
          <w:lang w:eastAsia="en-US"/>
        </w:rPr>
        <w:t xml:space="preserve"> w </w:t>
      </w:r>
      <w:r w:rsidRPr="004E0F02">
        <w:rPr>
          <w:rFonts w:eastAsia="Calibri" w:cs="Times New Roman"/>
          <w:szCs w:val="24"/>
          <w:lang w:eastAsia="en-US"/>
        </w:rPr>
        <w:t>tym terminie jest równoznaczny</w:t>
      </w:r>
      <w:r w:rsidR="00E45B1D" w:rsidRPr="004E0F02">
        <w:rPr>
          <w:rFonts w:eastAsia="Calibri" w:cs="Times New Roman"/>
          <w:szCs w:val="24"/>
          <w:lang w:eastAsia="en-US"/>
        </w:rPr>
        <w:t xml:space="preserve"> z </w:t>
      </w:r>
      <w:r w:rsidRPr="004E0F02">
        <w:rPr>
          <w:rFonts w:eastAsia="Calibri" w:cs="Times New Roman"/>
          <w:szCs w:val="24"/>
          <w:lang w:eastAsia="en-US"/>
        </w:rPr>
        <w:t>wycofaniem wniosku (art. </w:t>
      </w:r>
      <w:r w:rsidR="002E7269" w:rsidRPr="004E0F02">
        <w:rPr>
          <w:rFonts w:eastAsia="Calibri" w:cs="Times New Roman"/>
          <w:szCs w:val="24"/>
          <w:lang w:eastAsia="en-US"/>
        </w:rPr>
        <w:t xml:space="preserve">44 </w:t>
      </w:r>
      <w:r w:rsidR="00E45B1D" w:rsidRPr="004E0F02">
        <w:rPr>
          <w:rFonts w:eastAsia="Calibri" w:cs="Times New Roman"/>
          <w:szCs w:val="24"/>
          <w:lang w:eastAsia="en-US"/>
        </w:rPr>
        <w:t>ust. 2 </w:t>
      </w:r>
      <w:r w:rsidRPr="004E0F02">
        <w:rPr>
          <w:rFonts w:eastAsia="Calibri" w:cs="Times New Roman"/>
          <w:szCs w:val="24"/>
          <w:lang w:eastAsia="en-US"/>
        </w:rPr>
        <w:t>projektu ustawy).</w:t>
      </w:r>
      <w:r w:rsidR="00E45B1D" w:rsidRPr="004E0F02">
        <w:rPr>
          <w:rFonts w:eastAsia="Calibri" w:cs="Times New Roman"/>
          <w:szCs w:val="24"/>
          <w:lang w:eastAsia="en-US"/>
        </w:rPr>
        <w:t xml:space="preserve"> W </w:t>
      </w:r>
      <w:r w:rsidRPr="004E0F02">
        <w:rPr>
          <w:rFonts w:eastAsia="Calibri" w:cs="Times New Roman"/>
          <w:szCs w:val="24"/>
          <w:lang w:eastAsia="en-US"/>
        </w:rPr>
        <w:t>przypadku otrzymania sprzeciwu podmiot zobowiązany,</w:t>
      </w:r>
      <w:r w:rsidR="00E45B1D" w:rsidRPr="004E0F02">
        <w:rPr>
          <w:rFonts w:eastAsia="Calibri" w:cs="Times New Roman"/>
          <w:szCs w:val="24"/>
          <w:lang w:eastAsia="en-US"/>
        </w:rPr>
        <w:t xml:space="preserve"> w </w:t>
      </w:r>
      <w:r w:rsidRPr="004E0F02">
        <w:rPr>
          <w:rFonts w:eastAsia="Calibri" w:cs="Times New Roman"/>
          <w:szCs w:val="24"/>
          <w:lang w:eastAsia="en-US"/>
        </w:rPr>
        <w:t>drodze decyzji, rozstrzygnie</w:t>
      </w:r>
      <w:r w:rsidR="00E45B1D" w:rsidRPr="004E0F02">
        <w:rPr>
          <w:rFonts w:eastAsia="Calibri" w:cs="Times New Roman"/>
          <w:szCs w:val="24"/>
          <w:lang w:eastAsia="en-US"/>
        </w:rPr>
        <w:t xml:space="preserve"> o </w:t>
      </w:r>
      <w:r w:rsidRPr="004E0F02">
        <w:rPr>
          <w:rFonts w:eastAsia="Calibri" w:cs="Times New Roman"/>
          <w:szCs w:val="24"/>
          <w:lang w:eastAsia="en-US"/>
        </w:rPr>
        <w:t xml:space="preserve">warunkach ponownego wykorzystywania informacji sektora publicznego lub o wysokości opłat </w:t>
      </w:r>
      <w:r w:rsidR="002E7269" w:rsidRPr="004E0F02">
        <w:rPr>
          <w:rFonts w:eastAsia="Calibri" w:cs="Times New Roman"/>
          <w:szCs w:val="24"/>
          <w:lang w:eastAsia="en-US"/>
        </w:rPr>
        <w:t xml:space="preserve">lub odmówi </w:t>
      </w:r>
      <w:r w:rsidR="00C74BD9" w:rsidRPr="004E0F02">
        <w:rPr>
          <w:rFonts w:eastAsia="Calibri" w:cs="Times New Roman"/>
          <w:szCs w:val="24"/>
          <w:lang w:eastAsia="en-US"/>
        </w:rPr>
        <w:t>w </w:t>
      </w:r>
      <w:r w:rsidR="002E7269" w:rsidRPr="004E0F02">
        <w:rPr>
          <w:rFonts w:eastAsia="Calibri" w:cs="Times New Roman"/>
          <w:szCs w:val="24"/>
          <w:lang w:eastAsia="en-US"/>
        </w:rPr>
        <w:t xml:space="preserve">przypadku, o którym mowa w art. 10 ust. 4, odmówi wyrażenia zgody na ponowne wykorzystywanie informacji sektora publicznego </w:t>
      </w:r>
      <w:r w:rsidRPr="004E0F02">
        <w:rPr>
          <w:rFonts w:eastAsia="Calibri" w:cs="Times New Roman"/>
          <w:szCs w:val="24"/>
          <w:lang w:eastAsia="en-US"/>
        </w:rPr>
        <w:t xml:space="preserve">(art. </w:t>
      </w:r>
      <w:r w:rsidR="002E7269" w:rsidRPr="004E0F02">
        <w:rPr>
          <w:rFonts w:eastAsia="Calibri" w:cs="Times New Roman"/>
          <w:szCs w:val="24"/>
          <w:lang w:eastAsia="en-US"/>
        </w:rPr>
        <w:t xml:space="preserve">44 </w:t>
      </w:r>
      <w:r w:rsidR="00E45B1D" w:rsidRPr="004E0F02">
        <w:rPr>
          <w:rFonts w:eastAsia="Calibri" w:cs="Times New Roman"/>
          <w:szCs w:val="24"/>
          <w:lang w:eastAsia="en-US"/>
        </w:rPr>
        <w:t>ust. 3 </w:t>
      </w:r>
      <w:r w:rsidRPr="004E0F02">
        <w:rPr>
          <w:rFonts w:eastAsia="Calibri" w:cs="Times New Roman"/>
          <w:szCs w:val="24"/>
          <w:lang w:eastAsia="en-US"/>
        </w:rPr>
        <w:t>projektu ustawy).</w:t>
      </w:r>
    </w:p>
    <w:p w14:paraId="416B459C" w14:textId="3235998B"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w:t>
      </w:r>
      <w:r w:rsidR="00E45B1D" w:rsidRPr="004E0F02">
        <w:rPr>
          <w:rFonts w:eastAsia="Calibri" w:cs="Times New Roman"/>
          <w:szCs w:val="24"/>
          <w:lang w:eastAsia="en-US"/>
        </w:rPr>
        <w:t xml:space="preserve"> z art. </w:t>
      </w:r>
      <w:r w:rsidRPr="004E0F02">
        <w:rPr>
          <w:rFonts w:eastAsia="Calibri" w:cs="Times New Roman"/>
          <w:szCs w:val="24"/>
          <w:lang w:eastAsia="en-US"/>
        </w:rPr>
        <w:t>4</w:t>
      </w:r>
      <w:r w:rsidR="00E45B1D" w:rsidRPr="004E0F02">
        <w:rPr>
          <w:rFonts w:eastAsia="Calibri" w:cs="Times New Roman"/>
          <w:szCs w:val="24"/>
          <w:lang w:eastAsia="en-US"/>
        </w:rPr>
        <w:t>0 ust. 4 </w:t>
      </w:r>
      <w:r w:rsidRPr="004E0F02">
        <w:rPr>
          <w:rFonts w:eastAsia="Calibri" w:cs="Times New Roman"/>
          <w:szCs w:val="24"/>
          <w:lang w:eastAsia="en-US"/>
        </w:rPr>
        <w:t>projektu ustawy podmiot zobowiązany odmawia,</w:t>
      </w:r>
      <w:r w:rsidR="00E45B1D" w:rsidRPr="004E0F02">
        <w:rPr>
          <w:rFonts w:eastAsia="Calibri" w:cs="Times New Roman"/>
          <w:szCs w:val="24"/>
          <w:lang w:eastAsia="en-US"/>
        </w:rPr>
        <w:t xml:space="preserve"> w </w:t>
      </w:r>
      <w:r w:rsidRPr="004E0F02">
        <w:rPr>
          <w:rFonts w:eastAsia="Calibri" w:cs="Times New Roman"/>
          <w:szCs w:val="24"/>
          <w:lang w:eastAsia="en-US"/>
        </w:rPr>
        <w:t>drodze decyzji, wyrażenia zgody na ponowne wykorzystywanie informacji sektora publicznego (odmawia przekazania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przypadku gdy prawo do ponownego wykorzystywania podlega ograniczeniom,</w:t>
      </w:r>
      <w:r w:rsidR="00E45B1D" w:rsidRPr="004E0F02">
        <w:rPr>
          <w:rFonts w:eastAsia="Calibri" w:cs="Times New Roman"/>
          <w:szCs w:val="24"/>
          <w:lang w:eastAsia="en-US"/>
        </w:rPr>
        <w:t xml:space="preserve"> o </w:t>
      </w:r>
      <w:r w:rsidRPr="004E0F02">
        <w:rPr>
          <w:rFonts w:eastAsia="Calibri" w:cs="Times New Roman"/>
          <w:szCs w:val="24"/>
          <w:lang w:eastAsia="en-US"/>
        </w:rPr>
        <w:t>którym mowa</w:t>
      </w:r>
      <w:r w:rsidR="00E45B1D" w:rsidRPr="004E0F02">
        <w:rPr>
          <w:rFonts w:eastAsia="Calibri" w:cs="Times New Roman"/>
          <w:szCs w:val="24"/>
          <w:lang w:eastAsia="en-US"/>
        </w:rPr>
        <w:t xml:space="preserve"> w art. 6 </w:t>
      </w:r>
      <w:r w:rsidRPr="004E0F02">
        <w:rPr>
          <w:rFonts w:eastAsia="Calibri" w:cs="Times New Roman"/>
          <w:szCs w:val="24"/>
          <w:lang w:eastAsia="en-US"/>
        </w:rPr>
        <w:t xml:space="preserve">projektu ustawy (przesłanka obligatoryjna odmowy). </w:t>
      </w:r>
    </w:p>
    <w:p w14:paraId="4B5A3B1A" w14:textId="26B3AD9F"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Projekt przewiduje również możliwość uzyskania na podstawie wniosku</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 bezpośredniego</w:t>
      </w:r>
      <w:r w:rsidR="00E45B1D" w:rsidRPr="004E0F02">
        <w:rPr>
          <w:rFonts w:eastAsia="Calibri" w:cs="Times New Roman"/>
          <w:szCs w:val="24"/>
          <w:lang w:eastAsia="en-US"/>
        </w:rPr>
        <w:t xml:space="preserve"> i </w:t>
      </w:r>
      <w:r w:rsidRPr="004E0F02">
        <w:rPr>
          <w:rFonts w:eastAsia="Calibri" w:cs="Times New Roman"/>
          <w:szCs w:val="24"/>
          <w:lang w:eastAsia="en-US"/>
        </w:rPr>
        <w:t>stałego dostępu do informacji sektora publicznego gromadzonych i przechowywanych</w:t>
      </w:r>
      <w:r w:rsidR="00E45B1D" w:rsidRPr="004E0F02">
        <w:rPr>
          <w:rFonts w:eastAsia="Calibri" w:cs="Times New Roman"/>
          <w:szCs w:val="24"/>
          <w:lang w:eastAsia="en-US"/>
        </w:rPr>
        <w:t xml:space="preserve"> w </w:t>
      </w:r>
      <w:r w:rsidRPr="004E0F02">
        <w:rPr>
          <w:rFonts w:eastAsia="Calibri" w:cs="Times New Roman"/>
          <w:szCs w:val="24"/>
          <w:lang w:eastAsia="en-US"/>
        </w:rPr>
        <w:t>systemie teleinformatycznym</w:t>
      </w:r>
      <w:r w:rsidR="00E45B1D" w:rsidRPr="004E0F02">
        <w:rPr>
          <w:rFonts w:eastAsia="Calibri" w:cs="Times New Roman"/>
          <w:szCs w:val="24"/>
          <w:lang w:eastAsia="en-US"/>
        </w:rPr>
        <w:t xml:space="preserve"> </w:t>
      </w:r>
      <w:r w:rsidRPr="004E0F02">
        <w:rPr>
          <w:rFonts w:eastAsia="Calibri" w:cs="Times New Roman"/>
          <w:szCs w:val="24"/>
          <w:lang w:eastAsia="en-US"/>
        </w:rPr>
        <w:t>(art.</w:t>
      </w:r>
      <w:r w:rsidR="00E32B23" w:rsidRPr="004E0F02">
        <w:rPr>
          <w:rFonts w:eastAsia="Calibri" w:cs="Times New Roman"/>
          <w:szCs w:val="24"/>
          <w:lang w:eastAsia="en-US"/>
        </w:rPr>
        <w:t> </w:t>
      </w:r>
      <w:r w:rsidR="002E7269" w:rsidRPr="004E0F02">
        <w:rPr>
          <w:rFonts w:eastAsia="Calibri" w:cs="Times New Roman"/>
          <w:szCs w:val="24"/>
          <w:lang w:eastAsia="en-US"/>
        </w:rPr>
        <w:t xml:space="preserve">42 </w:t>
      </w:r>
      <w:r w:rsidR="00E45B1D" w:rsidRPr="004E0F02">
        <w:rPr>
          <w:rFonts w:eastAsia="Calibri" w:cs="Times New Roman"/>
          <w:szCs w:val="24"/>
          <w:lang w:eastAsia="en-US"/>
        </w:rPr>
        <w:t>ust. 2 </w:t>
      </w:r>
      <w:r w:rsidRPr="004E0F02">
        <w:rPr>
          <w:rFonts w:eastAsia="Calibri" w:cs="Times New Roman"/>
          <w:szCs w:val="24"/>
          <w:lang w:eastAsia="en-US"/>
        </w:rPr>
        <w:t>projektu ustawy). Rozwiązanie to należy do fakultatywnych sposobów udostępniania informacji sektora publicznego przez podmiot zobowiązany, co oznacza, że</w:t>
      </w:r>
      <w:r w:rsidR="00E32B23" w:rsidRPr="004E0F02">
        <w:rPr>
          <w:rFonts w:eastAsia="Calibri" w:cs="Times New Roman"/>
          <w:szCs w:val="24"/>
          <w:lang w:eastAsia="en-US"/>
        </w:rPr>
        <w:t> </w:t>
      </w:r>
      <w:r w:rsidRPr="004E0F02">
        <w:rPr>
          <w:rFonts w:eastAsia="Calibri" w:cs="Times New Roman"/>
          <w:szCs w:val="24"/>
          <w:lang w:eastAsia="en-US"/>
        </w:rPr>
        <w:t>podmiot ten może, lecz nie musi zapewnić takiej formy dostępu. Chodzi wyłącznie</w:t>
      </w:r>
      <w:r w:rsidR="00E45B1D" w:rsidRPr="004E0F02">
        <w:rPr>
          <w:rFonts w:eastAsia="Calibri" w:cs="Times New Roman"/>
          <w:szCs w:val="24"/>
          <w:lang w:eastAsia="en-US"/>
        </w:rPr>
        <w:t xml:space="preserve"> o </w:t>
      </w:r>
      <w:r w:rsidRPr="004E0F02">
        <w:rPr>
          <w:rFonts w:eastAsia="Calibri" w:cs="Times New Roman"/>
          <w:szCs w:val="24"/>
          <w:lang w:eastAsia="en-US"/>
        </w:rPr>
        <w:t>dostęp bezpośredni</w:t>
      </w:r>
      <w:r w:rsidR="00E45B1D" w:rsidRPr="004E0F02">
        <w:rPr>
          <w:rFonts w:eastAsia="Calibri" w:cs="Times New Roman"/>
          <w:szCs w:val="24"/>
          <w:lang w:eastAsia="en-US"/>
        </w:rPr>
        <w:t xml:space="preserve"> w </w:t>
      </w:r>
      <w:r w:rsidRPr="004E0F02">
        <w:rPr>
          <w:rFonts w:eastAsia="Calibri" w:cs="Times New Roman"/>
          <w:szCs w:val="24"/>
          <w:lang w:eastAsia="en-US"/>
        </w:rPr>
        <w:t>czasie rzeczywistym (on</w:t>
      </w:r>
      <w:r w:rsidR="00E45B1D" w:rsidRPr="004E0F02">
        <w:rPr>
          <w:rFonts w:eastAsia="Calibri" w:cs="Times New Roman"/>
          <w:szCs w:val="24"/>
          <w:lang w:eastAsia="en-US"/>
        </w:rPr>
        <w:softHyphen/>
      </w:r>
      <w:r w:rsidR="00E45B1D" w:rsidRPr="004E0F02">
        <w:rPr>
          <w:rFonts w:eastAsia="Calibri" w:cs="Times New Roman"/>
          <w:szCs w:val="24"/>
          <w:lang w:eastAsia="en-US"/>
        </w:rPr>
        <w:noBreakHyphen/>
      </w:r>
      <w:r w:rsidRPr="004E0F02">
        <w:rPr>
          <w:rFonts w:eastAsia="Calibri" w:cs="Times New Roman"/>
          <w:szCs w:val="24"/>
          <w:lang w:eastAsia="en-US"/>
        </w:rPr>
        <w:t>line). Rozwiązanie to nie polega na reprodukowaniu informacji sektora publicznego utrwalonych</w:t>
      </w:r>
      <w:r w:rsidR="00E45B1D" w:rsidRPr="004E0F02">
        <w:rPr>
          <w:rFonts w:eastAsia="Calibri" w:cs="Times New Roman"/>
          <w:szCs w:val="24"/>
          <w:lang w:eastAsia="en-US"/>
        </w:rPr>
        <w:t xml:space="preserve"> w </w:t>
      </w:r>
      <w:r w:rsidRPr="004E0F02">
        <w:rPr>
          <w:rFonts w:eastAsia="Calibri" w:cs="Times New Roman"/>
          <w:szCs w:val="24"/>
          <w:lang w:eastAsia="en-US"/>
        </w:rPr>
        <w:t>postaci papierowej lub na informatycznych nośnikach danych.</w:t>
      </w:r>
      <w:r w:rsidR="00E45B1D" w:rsidRPr="004E0F02">
        <w:rPr>
          <w:rFonts w:eastAsia="Calibri" w:cs="Times New Roman"/>
          <w:szCs w:val="24"/>
          <w:lang w:eastAsia="en-US"/>
        </w:rPr>
        <w:t xml:space="preserve"> W </w:t>
      </w:r>
      <w:r w:rsidRPr="004E0F02">
        <w:rPr>
          <w:rFonts w:eastAsia="Calibri" w:cs="Times New Roman"/>
          <w:szCs w:val="24"/>
          <w:lang w:eastAsia="en-US"/>
        </w:rPr>
        <w:t>wyniku realizacji tego wniosku podmiot zobowiązany:</w:t>
      </w:r>
    </w:p>
    <w:p w14:paraId="5F9A2E95" w14:textId="38C5D314" w:rsidR="00A42682" w:rsidRPr="004E0F02" w:rsidRDefault="00A42682" w:rsidP="004D2DA7">
      <w:pPr>
        <w:widowControl/>
        <w:numPr>
          <w:ilvl w:val="0"/>
          <w:numId w:val="24"/>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przedstawia wnioskodawcy ofertę, zawierającą warunki ponownego wykorzystywania lub wysokość opłat za ponowne wykorzystywanie</w:t>
      </w:r>
      <w:r w:rsidR="00651D38" w:rsidRPr="004E0F02">
        <w:rPr>
          <w:rFonts w:eastAsia="Calibri" w:cs="Times New Roman"/>
          <w:szCs w:val="24"/>
          <w:lang w:eastAsia="en-US"/>
        </w:rPr>
        <w:t xml:space="preserve"> oraz informacje dotyczące dostępności informacji sektora publicznego</w:t>
      </w:r>
      <w:r w:rsidRPr="004E0F02">
        <w:rPr>
          <w:rFonts w:eastAsia="Calibri" w:cs="Times New Roman"/>
          <w:szCs w:val="24"/>
          <w:lang w:eastAsia="en-US"/>
        </w:rPr>
        <w:t xml:space="preserve">; przy czym od tej oferty nie przysługuje sprzeciw (art. </w:t>
      </w:r>
      <w:r w:rsidR="002E7269" w:rsidRPr="004E0F02">
        <w:rPr>
          <w:rFonts w:eastAsia="Calibri" w:cs="Times New Roman"/>
          <w:szCs w:val="24"/>
          <w:lang w:eastAsia="en-US"/>
        </w:rPr>
        <w:t xml:space="preserve">45 </w:t>
      </w:r>
      <w:r w:rsidR="00E45B1D" w:rsidRPr="004E0F02">
        <w:rPr>
          <w:rFonts w:eastAsia="Calibri" w:cs="Times New Roman"/>
          <w:szCs w:val="24"/>
          <w:lang w:eastAsia="en-US"/>
        </w:rPr>
        <w:t>ust. 1 pkt 1 </w:t>
      </w:r>
      <w:r w:rsidRPr="004E0F02">
        <w:rPr>
          <w:rFonts w:eastAsia="Calibri" w:cs="Times New Roman"/>
          <w:szCs w:val="24"/>
          <w:lang w:eastAsia="en-US"/>
        </w:rPr>
        <w:t>projektu ustawy);</w:t>
      </w:r>
    </w:p>
    <w:p w14:paraId="38F9F7AD" w14:textId="55EA8EAD" w:rsidR="00A42682" w:rsidRPr="004E0F02" w:rsidRDefault="00A42682" w:rsidP="004D2DA7">
      <w:pPr>
        <w:widowControl/>
        <w:numPr>
          <w:ilvl w:val="0"/>
          <w:numId w:val="24"/>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informuje wnioskodawcę</w:t>
      </w:r>
      <w:r w:rsidR="00E45B1D" w:rsidRPr="004E0F02">
        <w:rPr>
          <w:rFonts w:eastAsia="Calibri" w:cs="Times New Roman"/>
          <w:szCs w:val="24"/>
          <w:lang w:eastAsia="en-US"/>
        </w:rPr>
        <w:t xml:space="preserve"> o </w:t>
      </w:r>
      <w:r w:rsidRPr="004E0F02">
        <w:rPr>
          <w:rFonts w:eastAsia="Calibri" w:cs="Times New Roman"/>
          <w:szCs w:val="24"/>
          <w:lang w:eastAsia="en-US"/>
        </w:rPr>
        <w:t>braku możliwości ponownego wykorzystywania</w:t>
      </w:r>
      <w:r w:rsidR="00E45B1D" w:rsidRPr="004E0F02">
        <w:rPr>
          <w:rFonts w:eastAsia="Calibri" w:cs="Times New Roman"/>
          <w:szCs w:val="24"/>
          <w:lang w:eastAsia="en-US"/>
        </w:rPr>
        <w:t xml:space="preserve"> w </w:t>
      </w:r>
      <w:r w:rsidRPr="004E0F02">
        <w:rPr>
          <w:rFonts w:eastAsia="Calibri" w:cs="Times New Roman"/>
          <w:szCs w:val="24"/>
          <w:lang w:eastAsia="en-US"/>
        </w:rPr>
        <w:t>sposób wskazany we wniosku;</w:t>
      </w:r>
    </w:p>
    <w:p w14:paraId="689F70C0" w14:textId="44F95DA2" w:rsidR="00A42682" w:rsidRPr="004E0F02" w:rsidRDefault="00A42682" w:rsidP="004D2DA7">
      <w:pPr>
        <w:widowControl/>
        <w:numPr>
          <w:ilvl w:val="0"/>
          <w:numId w:val="24"/>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odmawia,</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drodze decyzji, wyrażenia zgody na ponowne wykorzystywanie </w:t>
      </w:r>
      <w:r w:rsidR="00687090" w:rsidRPr="004E0F02">
        <w:rPr>
          <w:rFonts w:eastAsia="Calibri" w:cs="Times New Roman"/>
          <w:szCs w:val="24"/>
          <w:lang w:eastAsia="en-US"/>
        </w:rPr>
        <w:t>informacji sektora publicznego.</w:t>
      </w:r>
    </w:p>
    <w:p w14:paraId="6B501FD9" w14:textId="77777777" w:rsidR="00C74BD9" w:rsidRPr="004E0F02" w:rsidRDefault="00651D38" w:rsidP="00C74BD9">
      <w:pPr>
        <w:widowControl/>
        <w:autoSpaceDE/>
        <w:autoSpaceDN/>
        <w:adjustRightInd/>
        <w:spacing w:before="240" w:after="120" w:line="276" w:lineRule="auto"/>
        <w:contextualSpacing/>
        <w:jc w:val="both"/>
        <w:rPr>
          <w:rFonts w:eastAsia="Calibri" w:cs="Times New Roman"/>
          <w:szCs w:val="24"/>
          <w:lang w:eastAsia="en-US"/>
        </w:rPr>
      </w:pPr>
      <w:r w:rsidRPr="004E0F02">
        <w:rPr>
          <w:rFonts w:eastAsia="Calibri" w:cs="Times New Roman"/>
          <w:szCs w:val="24"/>
          <w:lang w:eastAsia="en-US"/>
        </w:rPr>
        <w:lastRenderedPageBreak/>
        <w:t>W odniesieniu do obowiązku przedstawienia</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ramach oferty informacji dotyczących dostępności informacji sektora publicznego (art. </w:t>
      </w:r>
      <w:r w:rsidR="002E7269" w:rsidRPr="004E0F02">
        <w:rPr>
          <w:rFonts w:eastAsia="Calibri" w:cs="Times New Roman"/>
          <w:szCs w:val="24"/>
          <w:lang w:eastAsia="en-US"/>
        </w:rPr>
        <w:t xml:space="preserve">45 </w:t>
      </w:r>
      <w:r w:rsidR="00E45B1D" w:rsidRPr="004E0F02">
        <w:rPr>
          <w:rFonts w:eastAsia="Calibri" w:cs="Times New Roman"/>
          <w:szCs w:val="24"/>
          <w:lang w:eastAsia="en-US"/>
        </w:rPr>
        <w:t>ust. 1 pkt 1 </w:t>
      </w:r>
      <w:r w:rsidRPr="004E0F02">
        <w:rPr>
          <w:rFonts w:eastAsia="Calibri" w:cs="Times New Roman"/>
          <w:szCs w:val="24"/>
          <w:lang w:eastAsia="en-US"/>
        </w:rPr>
        <w:t>projektu) nale</w:t>
      </w:r>
      <w:r w:rsidR="00E32B23" w:rsidRPr="004E0F02">
        <w:rPr>
          <w:rFonts w:eastAsia="Calibri" w:cs="Times New Roman"/>
          <w:szCs w:val="24"/>
          <w:lang w:eastAsia="en-US"/>
        </w:rPr>
        <w:t>ży wyjaśnić, że </w:t>
      </w:r>
      <w:r w:rsidR="00D22DB4" w:rsidRPr="004E0F02">
        <w:rPr>
          <w:rFonts w:eastAsia="Calibri" w:cs="Times New Roman"/>
          <w:szCs w:val="24"/>
          <w:lang w:eastAsia="en-US"/>
        </w:rPr>
        <w:t>p</w:t>
      </w:r>
      <w:r w:rsidR="00C64434" w:rsidRPr="004E0F02">
        <w:rPr>
          <w:rFonts w:eastAsia="Calibri" w:cs="Times New Roman"/>
          <w:szCs w:val="24"/>
          <w:lang w:eastAsia="en-US"/>
        </w:rPr>
        <w:t>rojekt ustawy przewiduje dwa tryby dostępu do informac</w:t>
      </w:r>
      <w:r w:rsidR="00E32B23" w:rsidRPr="004E0F02">
        <w:rPr>
          <w:rFonts w:eastAsia="Calibri" w:cs="Times New Roman"/>
          <w:szCs w:val="24"/>
          <w:lang w:eastAsia="en-US"/>
        </w:rPr>
        <w:t>ji sektora publicznego, tj. </w:t>
      </w:r>
      <w:r w:rsidR="00C64434" w:rsidRPr="004E0F02">
        <w:rPr>
          <w:rFonts w:eastAsia="Calibri" w:cs="Times New Roman"/>
          <w:szCs w:val="24"/>
          <w:lang w:eastAsia="en-US"/>
        </w:rPr>
        <w:t>przekazywanie informacji sektora publicznego na wniosek (tryb wnioskowy) oraz udostępnianie informacji sektora publicznego</w:t>
      </w:r>
      <w:r w:rsidR="00E45B1D" w:rsidRPr="004E0F02">
        <w:rPr>
          <w:rFonts w:eastAsia="Calibri" w:cs="Times New Roman"/>
          <w:szCs w:val="24"/>
          <w:lang w:eastAsia="en-US"/>
        </w:rPr>
        <w:t xml:space="preserve"> w </w:t>
      </w:r>
      <w:r w:rsidR="00C64434" w:rsidRPr="004E0F02">
        <w:rPr>
          <w:rFonts w:eastAsia="Calibri" w:cs="Times New Roman"/>
          <w:szCs w:val="24"/>
          <w:lang w:eastAsia="en-US"/>
        </w:rPr>
        <w:t xml:space="preserve">systemie teleinformatycznym (tryb </w:t>
      </w:r>
      <w:r w:rsidR="002E7269" w:rsidRPr="004E0F02">
        <w:rPr>
          <w:rFonts w:eastAsia="Calibri" w:cs="Times New Roman"/>
          <w:szCs w:val="24"/>
          <w:lang w:eastAsia="en-US"/>
        </w:rPr>
        <w:t xml:space="preserve"> pozawnioskowy</w:t>
      </w:r>
      <w:r w:rsidR="00C64434" w:rsidRPr="004E0F02">
        <w:rPr>
          <w:rFonts w:eastAsia="Calibri" w:cs="Times New Roman"/>
          <w:szCs w:val="24"/>
          <w:lang w:eastAsia="en-US"/>
        </w:rPr>
        <w:t xml:space="preserve">). </w:t>
      </w:r>
      <w:r w:rsidR="00D22DB4" w:rsidRPr="004E0F02">
        <w:rPr>
          <w:rFonts w:eastAsia="Calibri" w:cs="Times New Roman"/>
          <w:szCs w:val="24"/>
          <w:lang w:eastAsia="en-US"/>
        </w:rPr>
        <w:t>Wniosek</w:t>
      </w:r>
      <w:r w:rsidR="00E45B1D" w:rsidRPr="004E0F02">
        <w:rPr>
          <w:rFonts w:eastAsia="Calibri" w:cs="Times New Roman"/>
          <w:szCs w:val="24"/>
          <w:lang w:eastAsia="en-US"/>
        </w:rPr>
        <w:t xml:space="preserve"> o </w:t>
      </w:r>
      <w:r w:rsidR="00D22DB4" w:rsidRPr="004E0F02">
        <w:rPr>
          <w:rFonts w:eastAsia="Calibri" w:cs="Times New Roman"/>
          <w:szCs w:val="24"/>
          <w:lang w:eastAsia="en-US"/>
        </w:rPr>
        <w:t xml:space="preserve">uzyskanie dostępu </w:t>
      </w:r>
      <w:r w:rsidR="00E32B23" w:rsidRPr="004E0F02">
        <w:rPr>
          <w:rFonts w:eastAsia="Calibri" w:cs="Times New Roman"/>
          <w:szCs w:val="24"/>
          <w:lang w:eastAsia="en-US"/>
        </w:rPr>
        <w:t xml:space="preserve"> do </w:t>
      </w:r>
      <w:r w:rsidR="00D22DB4" w:rsidRPr="004E0F02">
        <w:rPr>
          <w:rFonts w:eastAsia="Calibri" w:cs="Times New Roman"/>
          <w:szCs w:val="24"/>
          <w:lang w:eastAsia="en-US"/>
        </w:rPr>
        <w:t>danych zgromadzonych</w:t>
      </w:r>
      <w:r w:rsidR="00E45B1D" w:rsidRPr="004E0F02">
        <w:rPr>
          <w:rFonts w:eastAsia="Calibri" w:cs="Times New Roman"/>
          <w:szCs w:val="24"/>
          <w:lang w:eastAsia="en-US"/>
        </w:rPr>
        <w:t xml:space="preserve"> w </w:t>
      </w:r>
      <w:r w:rsidR="00D22DB4" w:rsidRPr="004E0F02">
        <w:rPr>
          <w:rFonts w:eastAsia="Calibri" w:cs="Times New Roman"/>
          <w:szCs w:val="24"/>
          <w:lang w:eastAsia="en-US"/>
        </w:rPr>
        <w:t xml:space="preserve">systemie teleinformatycznym </w:t>
      </w:r>
      <w:r w:rsidR="00E32B23" w:rsidRPr="004E0F02">
        <w:rPr>
          <w:rFonts w:eastAsia="Calibri" w:cs="Times New Roman"/>
          <w:szCs w:val="24"/>
          <w:lang w:eastAsia="en-US"/>
        </w:rPr>
        <w:t>podmiotu zobowiązanego w </w:t>
      </w:r>
      <w:r w:rsidR="00D22DB4" w:rsidRPr="004E0F02">
        <w:rPr>
          <w:rFonts w:eastAsia="Calibri" w:cs="Times New Roman"/>
          <w:szCs w:val="24"/>
          <w:lang w:eastAsia="en-US"/>
        </w:rPr>
        <w:t>sposób stały</w:t>
      </w:r>
      <w:r w:rsidR="00E45B1D" w:rsidRPr="004E0F02">
        <w:rPr>
          <w:rFonts w:eastAsia="Calibri" w:cs="Times New Roman"/>
          <w:szCs w:val="24"/>
          <w:lang w:eastAsia="en-US"/>
        </w:rPr>
        <w:t xml:space="preserve"> i </w:t>
      </w:r>
      <w:r w:rsidR="00D22DB4" w:rsidRPr="004E0F02">
        <w:rPr>
          <w:rFonts w:eastAsia="Calibri" w:cs="Times New Roman"/>
          <w:szCs w:val="24"/>
          <w:lang w:eastAsia="en-US"/>
        </w:rPr>
        <w:t>bezpośredni</w:t>
      </w:r>
      <w:r w:rsidR="00E45B1D" w:rsidRPr="004E0F02">
        <w:rPr>
          <w:rFonts w:eastAsia="Calibri" w:cs="Times New Roman"/>
          <w:szCs w:val="24"/>
          <w:lang w:eastAsia="en-US"/>
        </w:rPr>
        <w:t xml:space="preserve"> w </w:t>
      </w:r>
      <w:r w:rsidR="00D22DB4" w:rsidRPr="004E0F02">
        <w:rPr>
          <w:rFonts w:eastAsia="Calibri" w:cs="Times New Roman"/>
          <w:szCs w:val="24"/>
          <w:lang w:eastAsia="en-US"/>
        </w:rPr>
        <w:t xml:space="preserve">czasie rzeczywistym (art. </w:t>
      </w:r>
      <w:r w:rsidR="002E7269" w:rsidRPr="004E0F02">
        <w:rPr>
          <w:rFonts w:eastAsia="Calibri" w:cs="Times New Roman"/>
          <w:szCs w:val="24"/>
          <w:lang w:eastAsia="en-US"/>
        </w:rPr>
        <w:t xml:space="preserve">42 </w:t>
      </w:r>
      <w:r w:rsidR="00E45B1D" w:rsidRPr="004E0F02">
        <w:rPr>
          <w:rFonts w:eastAsia="Calibri" w:cs="Times New Roman"/>
          <w:szCs w:val="24"/>
          <w:lang w:eastAsia="en-US"/>
        </w:rPr>
        <w:t>ust. </w:t>
      </w:r>
      <w:r w:rsidR="00D22DB4" w:rsidRPr="004E0F02">
        <w:rPr>
          <w:rFonts w:eastAsia="Calibri" w:cs="Times New Roman"/>
          <w:szCs w:val="24"/>
          <w:lang w:eastAsia="en-US"/>
        </w:rPr>
        <w:t>2) stanowi s</w:t>
      </w:r>
      <w:r w:rsidR="00C64434" w:rsidRPr="004E0F02">
        <w:rPr>
          <w:rFonts w:eastAsia="Calibri" w:cs="Times New Roman"/>
          <w:szCs w:val="24"/>
          <w:lang w:eastAsia="en-US"/>
        </w:rPr>
        <w:t xml:space="preserve">zczególny </w:t>
      </w:r>
      <w:r w:rsidR="00D22DB4" w:rsidRPr="004E0F02">
        <w:rPr>
          <w:rFonts w:eastAsia="Calibri" w:cs="Times New Roman"/>
          <w:szCs w:val="24"/>
          <w:lang w:eastAsia="en-US"/>
        </w:rPr>
        <w:t xml:space="preserve">rodzaj trybu wnioskowego. </w:t>
      </w:r>
      <w:r w:rsidR="00C64434" w:rsidRPr="004E0F02">
        <w:rPr>
          <w:rFonts w:eastAsia="Calibri" w:cs="Times New Roman"/>
          <w:szCs w:val="24"/>
          <w:lang w:eastAsia="en-US"/>
        </w:rPr>
        <w:t>Taka forma dostępu do danych jest</w:t>
      </w:r>
      <w:r w:rsidR="00E45B1D" w:rsidRPr="004E0F02">
        <w:rPr>
          <w:rFonts w:eastAsia="Calibri" w:cs="Times New Roman"/>
          <w:szCs w:val="24"/>
          <w:lang w:eastAsia="en-US"/>
        </w:rPr>
        <w:t xml:space="preserve"> w </w:t>
      </w:r>
      <w:r w:rsidR="00C64434" w:rsidRPr="004E0F02">
        <w:rPr>
          <w:rFonts w:eastAsia="Calibri" w:cs="Times New Roman"/>
          <w:szCs w:val="24"/>
          <w:lang w:eastAsia="en-US"/>
        </w:rPr>
        <w:t>pewien sposób zbliżona do trybu udostępniania informacji sekatora publicznego za pośrednictwem A</w:t>
      </w:r>
      <w:r w:rsidR="00E32B23" w:rsidRPr="004E0F02">
        <w:rPr>
          <w:rFonts w:eastAsia="Calibri" w:cs="Times New Roman"/>
          <w:szCs w:val="24"/>
          <w:lang w:eastAsia="en-US"/>
        </w:rPr>
        <w:t>PI. Jednak zgodnie z </w:t>
      </w:r>
      <w:r w:rsidR="00D4444C" w:rsidRPr="004E0F02">
        <w:rPr>
          <w:rFonts w:eastAsia="Calibri" w:cs="Times New Roman"/>
          <w:szCs w:val="24"/>
          <w:lang w:eastAsia="en-US"/>
        </w:rPr>
        <w:t>systematyką</w:t>
      </w:r>
      <w:r w:rsidR="00C64434" w:rsidRPr="004E0F02">
        <w:rPr>
          <w:rFonts w:eastAsia="Calibri" w:cs="Times New Roman"/>
          <w:szCs w:val="24"/>
          <w:lang w:eastAsia="en-US"/>
        </w:rPr>
        <w:t xml:space="preserve"> ustawy jest to sposób uzyskania dostępu do informacji sektora publicznego kwalifikowany jako tryb wnioskowy (dostęp do danych następuje na wniosek). </w:t>
      </w:r>
    </w:p>
    <w:p w14:paraId="4482E5A4" w14:textId="77777777" w:rsidR="00C74BD9" w:rsidRPr="004E0F02" w:rsidRDefault="00C74BD9" w:rsidP="00C74BD9">
      <w:pPr>
        <w:widowControl/>
        <w:autoSpaceDE/>
        <w:autoSpaceDN/>
        <w:adjustRightInd/>
        <w:spacing w:before="240" w:after="120" w:line="276" w:lineRule="auto"/>
        <w:contextualSpacing/>
        <w:jc w:val="both"/>
        <w:rPr>
          <w:rFonts w:eastAsia="Calibri" w:cs="Times New Roman"/>
          <w:szCs w:val="24"/>
          <w:lang w:eastAsia="en-US"/>
        </w:rPr>
      </w:pPr>
    </w:p>
    <w:p w14:paraId="394D7637" w14:textId="7BE2BD3E" w:rsidR="00C64434" w:rsidRPr="004E0F02" w:rsidRDefault="00E32B23" w:rsidP="00C74BD9">
      <w:pPr>
        <w:widowControl/>
        <w:autoSpaceDE/>
        <w:autoSpaceDN/>
        <w:adjustRightInd/>
        <w:spacing w:before="240" w:after="120" w:line="276" w:lineRule="auto"/>
        <w:contextualSpacing/>
        <w:jc w:val="both"/>
        <w:rPr>
          <w:rFonts w:eastAsia="Calibri" w:cs="Times New Roman"/>
          <w:szCs w:val="24"/>
          <w:lang w:eastAsia="en-US"/>
        </w:rPr>
      </w:pPr>
      <w:r w:rsidRPr="004E0F02">
        <w:rPr>
          <w:rFonts w:eastAsia="Calibri" w:cs="Times New Roman"/>
          <w:szCs w:val="24"/>
          <w:lang w:eastAsia="en-US"/>
        </w:rPr>
        <w:t>Wskazany</w:t>
      </w:r>
      <w:r w:rsidR="00E45B1D" w:rsidRPr="004E0F02">
        <w:rPr>
          <w:rFonts w:eastAsia="Calibri" w:cs="Times New Roman"/>
          <w:szCs w:val="24"/>
          <w:lang w:eastAsia="en-US"/>
        </w:rPr>
        <w:t xml:space="preserve"> w art. </w:t>
      </w:r>
      <w:r w:rsidR="00C64434" w:rsidRPr="004E0F02">
        <w:rPr>
          <w:rFonts w:eastAsia="Calibri" w:cs="Times New Roman"/>
          <w:szCs w:val="24"/>
          <w:lang w:eastAsia="en-US"/>
        </w:rPr>
        <w:t>1</w:t>
      </w:r>
      <w:r w:rsidR="00E45B1D" w:rsidRPr="004E0F02">
        <w:rPr>
          <w:rFonts w:eastAsia="Calibri" w:cs="Times New Roman"/>
          <w:szCs w:val="24"/>
          <w:lang w:eastAsia="en-US"/>
        </w:rPr>
        <w:t>3 ust. 2 </w:t>
      </w:r>
      <w:r w:rsidR="00C64434" w:rsidRPr="004E0F02">
        <w:rPr>
          <w:rFonts w:eastAsia="Calibri" w:cs="Times New Roman"/>
          <w:szCs w:val="24"/>
          <w:lang w:eastAsia="en-US"/>
        </w:rPr>
        <w:t xml:space="preserve">projektu ustawy wymóg publikacji przez podmiot zobowiązany informacji dotyczących dostępności dotyczy jedynie udostępniania informacji sektora publicznego za pośrednictwem API (tryb </w:t>
      </w:r>
      <w:r w:rsidR="002E7269" w:rsidRPr="004E0F02">
        <w:rPr>
          <w:rFonts w:eastAsia="Calibri" w:cs="Times New Roman"/>
          <w:szCs w:val="24"/>
          <w:lang w:eastAsia="en-US"/>
        </w:rPr>
        <w:t xml:space="preserve"> pozawnioskowy</w:t>
      </w:r>
      <w:r w:rsidR="00C64434" w:rsidRPr="004E0F02">
        <w:rPr>
          <w:rFonts w:eastAsia="Calibri" w:cs="Times New Roman"/>
          <w:szCs w:val="24"/>
          <w:lang w:eastAsia="en-US"/>
        </w:rPr>
        <w:t>). Nie obejmuje tym samym sytuacji,</w:t>
      </w:r>
      <w:r w:rsidR="00E45B1D" w:rsidRPr="004E0F02">
        <w:rPr>
          <w:rFonts w:eastAsia="Calibri" w:cs="Times New Roman"/>
          <w:szCs w:val="24"/>
          <w:lang w:eastAsia="en-US"/>
        </w:rPr>
        <w:t xml:space="preserve"> w </w:t>
      </w:r>
      <w:r w:rsidR="00C64434" w:rsidRPr="004E0F02">
        <w:rPr>
          <w:rFonts w:eastAsia="Calibri" w:cs="Times New Roman"/>
          <w:szCs w:val="24"/>
          <w:lang w:eastAsia="en-US"/>
        </w:rPr>
        <w:t>których użytkownik uzyska dostęp do danych</w:t>
      </w:r>
      <w:r w:rsidR="00E45B1D" w:rsidRPr="004E0F02">
        <w:rPr>
          <w:rFonts w:eastAsia="Calibri" w:cs="Times New Roman"/>
          <w:szCs w:val="24"/>
          <w:lang w:eastAsia="en-US"/>
        </w:rPr>
        <w:t xml:space="preserve"> w </w:t>
      </w:r>
      <w:r w:rsidR="00C64434" w:rsidRPr="004E0F02">
        <w:rPr>
          <w:rFonts w:eastAsia="Calibri" w:cs="Times New Roman"/>
          <w:szCs w:val="24"/>
          <w:lang w:eastAsia="en-US"/>
        </w:rPr>
        <w:t>trybie wnioskowym na podstawie wniosku</w:t>
      </w:r>
      <w:r w:rsidR="00E45B1D" w:rsidRPr="004E0F02">
        <w:rPr>
          <w:rFonts w:eastAsia="Calibri" w:cs="Times New Roman"/>
          <w:szCs w:val="24"/>
          <w:lang w:eastAsia="en-US"/>
        </w:rPr>
        <w:t xml:space="preserve"> o </w:t>
      </w:r>
      <w:r w:rsidR="00C64434" w:rsidRPr="004E0F02">
        <w:rPr>
          <w:rFonts w:eastAsia="Calibri" w:cs="Times New Roman"/>
          <w:szCs w:val="24"/>
          <w:lang w:eastAsia="en-US"/>
        </w:rPr>
        <w:t>dostęp do danych zgromadzonych</w:t>
      </w:r>
      <w:r w:rsidR="00E45B1D" w:rsidRPr="004E0F02">
        <w:rPr>
          <w:rFonts w:eastAsia="Calibri" w:cs="Times New Roman"/>
          <w:szCs w:val="24"/>
          <w:lang w:eastAsia="en-US"/>
        </w:rPr>
        <w:t xml:space="preserve"> w </w:t>
      </w:r>
      <w:r w:rsidR="00C64434" w:rsidRPr="004E0F02">
        <w:rPr>
          <w:rFonts w:eastAsia="Calibri" w:cs="Times New Roman"/>
          <w:szCs w:val="24"/>
          <w:lang w:eastAsia="en-US"/>
        </w:rPr>
        <w:t>systemie teleinformatycznym podmiotu zobowiązanego</w:t>
      </w:r>
      <w:r w:rsidR="00E45B1D" w:rsidRPr="004E0F02">
        <w:rPr>
          <w:rFonts w:eastAsia="Calibri" w:cs="Times New Roman"/>
          <w:szCs w:val="24"/>
          <w:lang w:eastAsia="en-US"/>
        </w:rPr>
        <w:t xml:space="preserve"> w </w:t>
      </w:r>
      <w:r w:rsidR="00C64434" w:rsidRPr="004E0F02">
        <w:rPr>
          <w:rFonts w:eastAsia="Calibri" w:cs="Times New Roman"/>
          <w:szCs w:val="24"/>
          <w:lang w:eastAsia="en-US"/>
        </w:rPr>
        <w:t>sposób stały</w:t>
      </w:r>
      <w:r w:rsidR="00E45B1D" w:rsidRPr="004E0F02">
        <w:rPr>
          <w:rFonts w:eastAsia="Calibri" w:cs="Times New Roman"/>
          <w:szCs w:val="24"/>
          <w:lang w:eastAsia="en-US"/>
        </w:rPr>
        <w:t xml:space="preserve"> i </w:t>
      </w:r>
      <w:r w:rsidR="00C64434" w:rsidRPr="004E0F02">
        <w:rPr>
          <w:rFonts w:eastAsia="Calibri" w:cs="Times New Roman"/>
          <w:szCs w:val="24"/>
          <w:lang w:eastAsia="en-US"/>
        </w:rPr>
        <w:t>bezpośredni</w:t>
      </w:r>
      <w:r w:rsidR="00E45B1D" w:rsidRPr="004E0F02">
        <w:rPr>
          <w:rFonts w:eastAsia="Calibri" w:cs="Times New Roman"/>
          <w:szCs w:val="24"/>
          <w:lang w:eastAsia="en-US"/>
        </w:rPr>
        <w:t xml:space="preserve"> w </w:t>
      </w:r>
      <w:r w:rsidR="00C64434" w:rsidRPr="004E0F02">
        <w:rPr>
          <w:rFonts w:eastAsia="Calibri" w:cs="Times New Roman"/>
          <w:szCs w:val="24"/>
          <w:lang w:eastAsia="en-US"/>
        </w:rPr>
        <w:t>czasie</w:t>
      </w:r>
      <w:r w:rsidR="00C64434" w:rsidRPr="004E0F02">
        <w:t xml:space="preserve"> </w:t>
      </w:r>
      <w:r w:rsidR="00C64434" w:rsidRPr="004E0F02">
        <w:rPr>
          <w:rFonts w:eastAsia="Calibri" w:cs="Times New Roman"/>
          <w:szCs w:val="24"/>
          <w:lang w:eastAsia="en-US"/>
        </w:rPr>
        <w:t xml:space="preserve">rzeczywistym. Mając powyższe na względzie konieczne </w:t>
      </w:r>
      <w:r w:rsidR="00D22DB4" w:rsidRPr="004E0F02">
        <w:rPr>
          <w:rFonts w:eastAsia="Calibri" w:cs="Times New Roman"/>
          <w:szCs w:val="24"/>
          <w:lang w:eastAsia="en-US"/>
        </w:rPr>
        <w:t>było</w:t>
      </w:r>
      <w:r w:rsidR="00C64434" w:rsidRPr="004E0F02">
        <w:rPr>
          <w:rFonts w:eastAsia="Calibri" w:cs="Times New Roman"/>
          <w:szCs w:val="24"/>
          <w:lang w:eastAsia="en-US"/>
        </w:rPr>
        <w:t xml:space="preserve"> uwzględnienie informacji dotyczących dostępności i</w:t>
      </w:r>
      <w:r w:rsidRPr="004E0F02">
        <w:rPr>
          <w:rFonts w:eastAsia="Calibri" w:cs="Times New Roman"/>
          <w:szCs w:val="24"/>
          <w:lang w:eastAsia="en-US"/>
        </w:rPr>
        <w:t>nformacji sektora publicznego w </w:t>
      </w:r>
      <w:r w:rsidR="00C64434" w:rsidRPr="004E0F02">
        <w:rPr>
          <w:rFonts w:eastAsia="Calibri" w:cs="Times New Roman"/>
          <w:szCs w:val="24"/>
          <w:lang w:eastAsia="en-US"/>
        </w:rPr>
        <w:t xml:space="preserve">ofercie, którą podmiot zobowiązany może złożyć wnioskodawcy rozpatrując tego rodzaju wniosek (art. </w:t>
      </w:r>
      <w:r w:rsidR="002E7269" w:rsidRPr="004E0F02">
        <w:rPr>
          <w:rFonts w:eastAsia="Calibri" w:cs="Times New Roman"/>
          <w:szCs w:val="24"/>
          <w:lang w:eastAsia="en-US"/>
        </w:rPr>
        <w:t>45 </w:t>
      </w:r>
      <w:r w:rsidR="00C64434" w:rsidRPr="004E0F02">
        <w:rPr>
          <w:rFonts w:eastAsia="Calibri" w:cs="Times New Roman"/>
          <w:szCs w:val="24"/>
          <w:lang w:eastAsia="en-US"/>
        </w:rPr>
        <w:t xml:space="preserve">ust </w:t>
      </w:r>
      <w:r w:rsidR="00E45B1D" w:rsidRPr="004E0F02">
        <w:rPr>
          <w:rFonts w:eastAsia="Calibri" w:cs="Times New Roman"/>
          <w:szCs w:val="24"/>
          <w:lang w:eastAsia="en-US"/>
        </w:rPr>
        <w:t>1 pkt </w:t>
      </w:r>
      <w:r w:rsidR="00C64434" w:rsidRPr="004E0F02">
        <w:rPr>
          <w:rFonts w:eastAsia="Calibri" w:cs="Times New Roman"/>
          <w:szCs w:val="24"/>
          <w:lang w:eastAsia="en-US"/>
        </w:rPr>
        <w:t>1).</w:t>
      </w:r>
    </w:p>
    <w:p w14:paraId="6BBCDDFD" w14:textId="77777777" w:rsidR="00651D38" w:rsidRPr="004E0F02" w:rsidRDefault="00651D38" w:rsidP="00651D38">
      <w:pPr>
        <w:widowControl/>
        <w:autoSpaceDE/>
        <w:autoSpaceDN/>
        <w:adjustRightInd/>
        <w:spacing w:after="120" w:line="276" w:lineRule="auto"/>
        <w:contextualSpacing/>
        <w:jc w:val="both"/>
        <w:rPr>
          <w:rFonts w:eastAsia="Calibri" w:cs="Times New Roman"/>
          <w:szCs w:val="24"/>
          <w:lang w:eastAsia="en-US"/>
        </w:rPr>
      </w:pPr>
    </w:p>
    <w:p w14:paraId="479D3416" w14:textId="21FD1CC4"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Przepisy</w:t>
      </w:r>
      <w:r w:rsidR="00E45B1D" w:rsidRPr="004E0F02">
        <w:rPr>
          <w:rFonts w:eastAsia="Calibri" w:cs="Times New Roman"/>
          <w:szCs w:val="24"/>
          <w:lang w:eastAsia="en-US"/>
        </w:rPr>
        <w:t xml:space="preserve"> art. </w:t>
      </w:r>
      <w:r w:rsidR="002E7269" w:rsidRPr="004E0F02">
        <w:rPr>
          <w:rFonts w:eastAsia="Calibri" w:cs="Times New Roman"/>
          <w:szCs w:val="24"/>
          <w:lang w:eastAsia="en-US"/>
        </w:rPr>
        <w:t xml:space="preserve">44 </w:t>
      </w:r>
      <w:r w:rsidR="00E45B1D" w:rsidRPr="004E0F02">
        <w:rPr>
          <w:rFonts w:eastAsia="Calibri" w:cs="Times New Roman"/>
          <w:szCs w:val="24"/>
          <w:lang w:eastAsia="en-US"/>
        </w:rPr>
        <w:t>ust. </w:t>
      </w:r>
      <w:r w:rsidR="002E7269" w:rsidRPr="004E0F02">
        <w:rPr>
          <w:rFonts w:eastAsia="Calibri" w:cs="Times New Roman"/>
          <w:szCs w:val="24"/>
          <w:lang w:eastAsia="en-US"/>
        </w:rPr>
        <w:t xml:space="preserve">5 </w:t>
      </w:r>
      <w:r w:rsidR="00E45B1D" w:rsidRPr="004E0F02">
        <w:rPr>
          <w:rFonts w:eastAsia="Calibri" w:cs="Times New Roman"/>
          <w:szCs w:val="24"/>
          <w:lang w:eastAsia="en-US"/>
        </w:rPr>
        <w:t>i art. </w:t>
      </w:r>
      <w:r w:rsidR="002E7269" w:rsidRPr="004E0F02">
        <w:rPr>
          <w:rFonts w:eastAsia="Calibri" w:cs="Times New Roman"/>
          <w:szCs w:val="24"/>
          <w:lang w:eastAsia="en-US"/>
        </w:rPr>
        <w:t xml:space="preserve">45 </w:t>
      </w:r>
      <w:r w:rsidR="00E45B1D" w:rsidRPr="004E0F02">
        <w:rPr>
          <w:rFonts w:eastAsia="Calibri" w:cs="Times New Roman"/>
          <w:szCs w:val="24"/>
          <w:lang w:eastAsia="en-US"/>
        </w:rPr>
        <w:t>ust. 1 pkt 3 </w:t>
      </w:r>
      <w:r w:rsidRPr="004E0F02">
        <w:rPr>
          <w:rFonts w:eastAsia="Calibri" w:cs="Times New Roman"/>
          <w:szCs w:val="24"/>
          <w:lang w:eastAsia="en-US"/>
        </w:rPr>
        <w:t>projektu ustawy stanowią, że</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przypadku gdy podstawą odmowy są </w:t>
      </w:r>
      <w:r w:rsidR="00643FE4" w:rsidRPr="004E0F02">
        <w:rPr>
          <w:rFonts w:eastAsia="Calibri" w:cs="Times New Roman"/>
          <w:szCs w:val="24"/>
          <w:lang w:eastAsia="en-US"/>
        </w:rPr>
        <w:t xml:space="preserve">prawa autorskie lub prawa pokrewne, prawa do baz danych lub prawa do odmian roślin </w:t>
      </w:r>
      <w:r w:rsidRPr="004E0F02">
        <w:rPr>
          <w:rFonts w:eastAsia="Calibri" w:cs="Times New Roman"/>
          <w:szCs w:val="24"/>
          <w:lang w:eastAsia="en-US"/>
        </w:rPr>
        <w:t xml:space="preserve">przysługujące osobom trzecim, podmiot zobowiązany wskazuje osobę fizyczną, osobę prawną lub jednostkę organizacyjną nieposiadającą osobowości prawnej, która posiada prawa własności intelektualnej, jeżeli jest znana, albo licencjodawcę, od którego podmiot zobowiązany uzyskał dany przedmiot praw własności intelektualnej. </w:t>
      </w:r>
      <w:r w:rsidR="00643FE4" w:rsidRPr="004E0F02">
        <w:rPr>
          <w:rFonts w:eastAsia="Calibri" w:cs="Times New Roman"/>
          <w:szCs w:val="24"/>
          <w:lang w:eastAsia="en-US"/>
        </w:rPr>
        <w:t xml:space="preserve">Podmiot zobowiązany będzie również obowiązany do wskazania takiej informacji w przypadku odmowy przekazania informacji sektora publicznego ze względu na objęcie tych informacji prawami własności przemysłowej lub prawami własności przemysłowej podlegających ochronie na podstawie umów międzynarodowych lub przepisów prawa Unii Europejskie. </w:t>
      </w:r>
      <w:r w:rsidRPr="004E0F02">
        <w:rPr>
          <w:rFonts w:eastAsia="Calibri" w:cs="Times New Roman"/>
          <w:szCs w:val="24"/>
          <w:lang w:eastAsia="en-US"/>
        </w:rPr>
        <w:t>Zgodnie z brzmieniem</w:t>
      </w:r>
      <w:r w:rsidR="00E45B1D" w:rsidRPr="004E0F02">
        <w:rPr>
          <w:rFonts w:eastAsia="Calibri" w:cs="Times New Roman"/>
          <w:szCs w:val="24"/>
          <w:lang w:eastAsia="en-US"/>
        </w:rPr>
        <w:t xml:space="preserve"> art. 4 ust. 3 </w:t>
      </w:r>
      <w:r w:rsidRPr="004E0F02">
        <w:rPr>
          <w:rFonts w:eastAsia="Calibri" w:cs="Times New Roman"/>
          <w:szCs w:val="24"/>
          <w:lang w:eastAsia="en-US"/>
        </w:rPr>
        <w:t>dyrektywy 2019/1024/UE</w:t>
      </w:r>
      <w:r w:rsidR="00E45B1D" w:rsidRPr="004E0F02">
        <w:rPr>
          <w:rFonts w:eastAsia="Calibri" w:cs="Times New Roman"/>
          <w:szCs w:val="24"/>
          <w:lang w:eastAsia="en-US"/>
        </w:rPr>
        <w:t xml:space="preserve"> z </w:t>
      </w:r>
      <w:r w:rsidRPr="004E0F02">
        <w:rPr>
          <w:rFonts w:eastAsia="Calibri" w:cs="Times New Roman"/>
          <w:szCs w:val="24"/>
          <w:lang w:eastAsia="en-US"/>
        </w:rPr>
        <w:t>tego obowiązku będą zwolnione muzea państwowe</w:t>
      </w:r>
      <w:r w:rsidR="00E45B1D" w:rsidRPr="004E0F02">
        <w:rPr>
          <w:rFonts w:eastAsia="Calibri" w:cs="Times New Roman"/>
          <w:szCs w:val="24"/>
          <w:lang w:eastAsia="en-US"/>
        </w:rPr>
        <w:t xml:space="preserve"> i </w:t>
      </w:r>
      <w:r w:rsidRPr="004E0F02">
        <w:rPr>
          <w:rFonts w:eastAsia="Calibri" w:cs="Times New Roman"/>
          <w:szCs w:val="24"/>
          <w:lang w:eastAsia="en-US"/>
        </w:rPr>
        <w:t>muzea samorządowe, biblioteki publiczne i</w:t>
      </w:r>
      <w:r w:rsidR="00E32B23" w:rsidRPr="004E0F02">
        <w:rPr>
          <w:rFonts w:eastAsia="Calibri" w:cs="Times New Roman"/>
          <w:szCs w:val="24"/>
          <w:lang w:eastAsia="en-US"/>
        </w:rPr>
        <w:t> </w:t>
      </w:r>
      <w:r w:rsidRPr="004E0F02">
        <w:rPr>
          <w:rFonts w:eastAsia="Calibri" w:cs="Times New Roman"/>
          <w:szCs w:val="24"/>
          <w:lang w:eastAsia="en-US"/>
        </w:rPr>
        <w:t>naukowe oraz archiwa.</w:t>
      </w:r>
    </w:p>
    <w:p w14:paraId="74E40F86" w14:textId="0C2C34FE"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Warunki ponownego wykorzystywania informacji sektora publicznego,</w:t>
      </w:r>
      <w:r w:rsidR="00E45B1D" w:rsidRPr="004E0F02">
        <w:rPr>
          <w:rFonts w:eastAsia="Calibri" w:cs="Times New Roman"/>
          <w:szCs w:val="24"/>
          <w:lang w:eastAsia="en-US"/>
        </w:rPr>
        <w:t xml:space="preserve"> a </w:t>
      </w:r>
      <w:r w:rsidRPr="004E0F02">
        <w:rPr>
          <w:rFonts w:eastAsia="Calibri" w:cs="Times New Roman"/>
          <w:szCs w:val="24"/>
          <w:lang w:eastAsia="en-US"/>
        </w:rPr>
        <w:t>także wysokość opłat za ponowne wykorzystywanie informacji stanowią ofertę</w:t>
      </w:r>
      <w:r w:rsidR="00E45B1D" w:rsidRPr="004E0F02">
        <w:rPr>
          <w:rFonts w:eastAsia="Calibri" w:cs="Times New Roman"/>
          <w:szCs w:val="24"/>
          <w:lang w:eastAsia="en-US"/>
        </w:rPr>
        <w:t xml:space="preserve"> w </w:t>
      </w:r>
      <w:r w:rsidRPr="004E0F02">
        <w:rPr>
          <w:rFonts w:eastAsia="Calibri" w:cs="Times New Roman"/>
          <w:szCs w:val="24"/>
          <w:lang w:eastAsia="en-US"/>
        </w:rPr>
        <w:t>rozumieniu</w:t>
      </w:r>
      <w:r w:rsidR="00E45B1D" w:rsidRPr="004E0F02">
        <w:rPr>
          <w:rFonts w:eastAsia="Calibri" w:cs="Times New Roman"/>
          <w:szCs w:val="24"/>
          <w:lang w:eastAsia="en-US"/>
        </w:rPr>
        <w:t xml:space="preserve"> art. </w:t>
      </w:r>
      <w:r w:rsidRPr="004E0F02">
        <w:rPr>
          <w:rFonts w:eastAsia="Calibri" w:cs="Times New Roman"/>
          <w:szCs w:val="24"/>
          <w:lang w:eastAsia="en-US"/>
        </w:rPr>
        <w:t>6</w:t>
      </w:r>
      <w:r w:rsidR="00E45B1D" w:rsidRPr="004E0F02">
        <w:rPr>
          <w:rFonts w:eastAsia="Calibri" w:cs="Times New Roman"/>
          <w:szCs w:val="24"/>
          <w:lang w:eastAsia="en-US"/>
        </w:rPr>
        <w:t>6 </w:t>
      </w:r>
      <w:r w:rsidRPr="004E0F02">
        <w:rPr>
          <w:rFonts w:eastAsia="Calibri" w:cs="Times New Roman"/>
          <w:szCs w:val="24"/>
          <w:lang w:eastAsia="en-US"/>
        </w:rPr>
        <w:t>k.c. Zastosowanie znajdą wówczas przepisy k.c. dotyczące zawierania umów przez ofertę</w:t>
      </w:r>
      <w:r w:rsidR="00E45B1D" w:rsidRPr="004E0F02">
        <w:rPr>
          <w:rFonts w:eastAsia="Calibri" w:cs="Times New Roman"/>
          <w:szCs w:val="24"/>
          <w:lang w:eastAsia="en-US"/>
        </w:rPr>
        <w:t xml:space="preserve"> i </w:t>
      </w:r>
      <w:r w:rsidRPr="004E0F02">
        <w:rPr>
          <w:rFonts w:eastAsia="Calibri" w:cs="Times New Roman"/>
          <w:szCs w:val="24"/>
          <w:lang w:eastAsia="en-US"/>
        </w:rPr>
        <w:t>jej przyjęcie,</w:t>
      </w:r>
      <w:r w:rsidR="00E45B1D" w:rsidRPr="004E0F02">
        <w:rPr>
          <w:rFonts w:eastAsia="Calibri" w:cs="Times New Roman"/>
          <w:szCs w:val="24"/>
          <w:lang w:eastAsia="en-US"/>
        </w:rPr>
        <w:t xml:space="preserve"> w </w:t>
      </w:r>
      <w:r w:rsidRPr="004E0F02">
        <w:rPr>
          <w:rFonts w:eastAsia="Calibri" w:cs="Times New Roman"/>
          <w:szCs w:val="24"/>
          <w:lang w:eastAsia="en-US"/>
        </w:rPr>
        <w:t>tym ofertę</w:t>
      </w:r>
      <w:r w:rsidR="00E45B1D" w:rsidRPr="004E0F02">
        <w:rPr>
          <w:rFonts w:eastAsia="Calibri" w:cs="Times New Roman"/>
          <w:szCs w:val="24"/>
          <w:lang w:eastAsia="en-US"/>
        </w:rPr>
        <w:t xml:space="preserve"> w </w:t>
      </w:r>
      <w:r w:rsidRPr="004E0F02">
        <w:rPr>
          <w:rFonts w:eastAsia="Calibri" w:cs="Times New Roman"/>
          <w:szCs w:val="24"/>
          <w:lang w:eastAsia="en-US"/>
        </w:rPr>
        <w:t>postaci elektronicznej (art. 6</w:t>
      </w:r>
      <w:r w:rsidR="00E45B1D" w:rsidRPr="004E0F02">
        <w:rPr>
          <w:rFonts w:eastAsia="Calibri" w:cs="Times New Roman"/>
          <w:szCs w:val="24"/>
          <w:lang w:eastAsia="en-US"/>
        </w:rPr>
        <w:t>6 i </w:t>
      </w:r>
      <w:r w:rsidRPr="004E0F02">
        <w:rPr>
          <w:rFonts w:eastAsia="Calibri" w:cs="Times New Roman"/>
          <w:szCs w:val="24"/>
          <w:lang w:eastAsia="en-US"/>
        </w:rPr>
        <w:t>nast. k.c.). Co do zasady umowę uznaje się za zawartą</w:t>
      </w:r>
      <w:r w:rsidR="00E45B1D" w:rsidRPr="004E0F02">
        <w:rPr>
          <w:rFonts w:eastAsia="Calibri" w:cs="Times New Roman"/>
          <w:szCs w:val="24"/>
          <w:lang w:eastAsia="en-US"/>
        </w:rPr>
        <w:t xml:space="preserve"> w </w:t>
      </w:r>
      <w:r w:rsidRPr="004E0F02">
        <w:rPr>
          <w:rFonts w:eastAsia="Calibri" w:cs="Times New Roman"/>
          <w:szCs w:val="24"/>
          <w:lang w:eastAsia="en-US"/>
        </w:rPr>
        <w:t>momencie,</w:t>
      </w:r>
      <w:r w:rsidR="00E45B1D" w:rsidRPr="004E0F02">
        <w:rPr>
          <w:rFonts w:eastAsia="Calibri" w:cs="Times New Roman"/>
          <w:szCs w:val="24"/>
          <w:lang w:eastAsia="en-US"/>
        </w:rPr>
        <w:t xml:space="preserve"> w </w:t>
      </w:r>
      <w:r w:rsidRPr="004E0F02">
        <w:rPr>
          <w:rFonts w:eastAsia="Calibri" w:cs="Times New Roman"/>
          <w:szCs w:val="24"/>
          <w:lang w:eastAsia="en-US"/>
        </w:rPr>
        <w:t>którym składający umowę</w:t>
      </w:r>
      <w:r w:rsidR="00E45B1D" w:rsidRPr="004E0F02">
        <w:rPr>
          <w:rFonts w:eastAsia="Calibri" w:cs="Times New Roman"/>
          <w:szCs w:val="24"/>
          <w:lang w:eastAsia="en-US"/>
        </w:rPr>
        <w:t xml:space="preserve"> w </w:t>
      </w:r>
      <w:r w:rsidRPr="004E0F02">
        <w:rPr>
          <w:rFonts w:eastAsia="Calibri" w:cs="Times New Roman"/>
          <w:szCs w:val="24"/>
          <w:lang w:eastAsia="en-US"/>
        </w:rPr>
        <w:t>trybie ofertowym otrzyma oświadczenie potwierdzające przyjęcie złożonej oferty.</w:t>
      </w:r>
      <w:r w:rsidR="00E45B1D" w:rsidRPr="004E0F02">
        <w:rPr>
          <w:rFonts w:eastAsia="Calibri" w:cs="Times New Roman"/>
          <w:szCs w:val="24"/>
          <w:lang w:eastAsia="en-US"/>
        </w:rPr>
        <w:t xml:space="preserve"> W </w:t>
      </w:r>
      <w:r w:rsidRPr="004E0F02">
        <w:rPr>
          <w:rFonts w:eastAsia="Calibri" w:cs="Times New Roman"/>
          <w:szCs w:val="24"/>
          <w:lang w:eastAsia="en-US"/>
        </w:rPr>
        <w:t>przypadku naruszenia warunków określonych</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umowie zastosowanie znajdą ogólne zasady odpowiedzialności </w:t>
      </w:r>
      <w:r w:rsidRPr="004E0F02">
        <w:rPr>
          <w:rFonts w:eastAsia="Calibri" w:cs="Times New Roman"/>
          <w:szCs w:val="24"/>
          <w:lang w:eastAsia="en-US"/>
        </w:rPr>
        <w:lastRenderedPageBreak/>
        <w:t>cywilnoprawnej,</w:t>
      </w:r>
      <w:r w:rsidR="00E45B1D" w:rsidRPr="004E0F02">
        <w:rPr>
          <w:rFonts w:eastAsia="Calibri" w:cs="Times New Roman"/>
          <w:szCs w:val="24"/>
          <w:lang w:eastAsia="en-US"/>
        </w:rPr>
        <w:t xml:space="preserve"> o </w:t>
      </w:r>
      <w:r w:rsidRPr="004E0F02">
        <w:rPr>
          <w:rFonts w:eastAsia="Calibri" w:cs="Times New Roman"/>
          <w:szCs w:val="24"/>
          <w:lang w:eastAsia="en-US"/>
        </w:rPr>
        <w:t>czym była już mowa</w:t>
      </w:r>
      <w:r w:rsidR="00E45B1D" w:rsidRPr="004E0F02">
        <w:rPr>
          <w:rFonts w:eastAsia="Calibri" w:cs="Times New Roman"/>
          <w:szCs w:val="24"/>
          <w:lang w:eastAsia="en-US"/>
        </w:rPr>
        <w:t xml:space="preserve"> w </w:t>
      </w:r>
      <w:r w:rsidRPr="004E0F02">
        <w:rPr>
          <w:rFonts w:eastAsia="Calibri" w:cs="Times New Roman"/>
          <w:szCs w:val="24"/>
          <w:lang w:eastAsia="en-US"/>
        </w:rPr>
        <w:t>punkcie uzasadnienia dotyczącym warunków ponownego wykorzystywania.</w:t>
      </w:r>
    </w:p>
    <w:p w14:paraId="6C347838" w14:textId="2AA356EB"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 xml:space="preserve">Do postępowania kończącego się wydaniem decyzji odmawiających przekazania informacji sektora publicznego do ponownego wykorzystywania oraz stwierdzającej warunki ponownego wykorzystywania </w:t>
      </w:r>
      <w:r w:rsidR="00BD27D8" w:rsidRPr="004E0F02">
        <w:rPr>
          <w:rFonts w:eastAsia="Calibri" w:cs="Times New Roman"/>
          <w:szCs w:val="24"/>
          <w:lang w:eastAsia="en-US"/>
        </w:rPr>
        <w:t>lub</w:t>
      </w:r>
      <w:r w:rsidR="00E45B1D" w:rsidRPr="004E0F02">
        <w:rPr>
          <w:rFonts w:eastAsia="Calibri" w:cs="Times New Roman"/>
          <w:szCs w:val="24"/>
          <w:lang w:eastAsia="en-US"/>
        </w:rPr>
        <w:t xml:space="preserve"> o </w:t>
      </w:r>
      <w:r w:rsidR="00BD27D8" w:rsidRPr="004E0F02">
        <w:rPr>
          <w:rFonts w:eastAsia="Calibri" w:cs="Times New Roman"/>
          <w:szCs w:val="24"/>
          <w:lang w:eastAsia="en-US"/>
        </w:rPr>
        <w:t>wysokości opłat za ponowne wykorzystywanie,</w:t>
      </w:r>
      <w:r w:rsidR="00E45B1D" w:rsidRPr="004E0F02">
        <w:rPr>
          <w:rFonts w:eastAsia="Calibri" w:cs="Times New Roman"/>
          <w:szCs w:val="24"/>
          <w:lang w:eastAsia="en-US"/>
        </w:rPr>
        <w:t xml:space="preserve"> w </w:t>
      </w:r>
      <w:r w:rsidR="00BD27D8" w:rsidRPr="004E0F02">
        <w:rPr>
          <w:rFonts w:eastAsia="Calibri" w:cs="Times New Roman"/>
          <w:szCs w:val="24"/>
          <w:lang w:eastAsia="en-US"/>
        </w:rPr>
        <w:t xml:space="preserve">zakresie nieuregulowanym ustawą, </w:t>
      </w:r>
      <w:r w:rsidRPr="004E0F02">
        <w:rPr>
          <w:rFonts w:eastAsia="Calibri" w:cs="Times New Roman"/>
          <w:szCs w:val="24"/>
          <w:lang w:eastAsia="en-US"/>
        </w:rPr>
        <w:t>zastosowanie mają przepisy ustawy</w:t>
      </w:r>
      <w:r w:rsidR="00E45B1D" w:rsidRPr="004E0F02">
        <w:rPr>
          <w:rFonts w:eastAsia="Calibri" w:cs="Times New Roman"/>
          <w:szCs w:val="24"/>
          <w:lang w:eastAsia="en-US"/>
        </w:rPr>
        <w:t xml:space="preserve"> z </w:t>
      </w:r>
      <w:r w:rsidRPr="004E0F02">
        <w:rPr>
          <w:rFonts w:eastAsia="Calibri" w:cs="Times New Roman"/>
          <w:szCs w:val="24"/>
          <w:lang w:eastAsia="en-US"/>
        </w:rPr>
        <w:t>dnia 1</w:t>
      </w:r>
      <w:r w:rsidR="00E45B1D" w:rsidRPr="004E0F02">
        <w:rPr>
          <w:rFonts w:eastAsia="Calibri" w:cs="Times New Roman"/>
          <w:szCs w:val="24"/>
          <w:lang w:eastAsia="en-US"/>
        </w:rPr>
        <w:t>4 </w:t>
      </w:r>
      <w:r w:rsidRPr="004E0F02">
        <w:rPr>
          <w:rFonts w:eastAsia="Calibri" w:cs="Times New Roman"/>
          <w:szCs w:val="24"/>
          <w:lang w:eastAsia="en-US"/>
        </w:rPr>
        <w:t>czerwca 196</w:t>
      </w:r>
      <w:r w:rsidR="00E45B1D" w:rsidRPr="004E0F02">
        <w:rPr>
          <w:rFonts w:eastAsia="Calibri" w:cs="Times New Roman"/>
          <w:szCs w:val="24"/>
          <w:lang w:eastAsia="en-US"/>
        </w:rPr>
        <w:t>0 </w:t>
      </w:r>
      <w:r w:rsidRPr="004E0F02">
        <w:rPr>
          <w:rFonts w:eastAsia="Calibri" w:cs="Times New Roman"/>
          <w:szCs w:val="24"/>
          <w:lang w:eastAsia="en-US"/>
        </w:rPr>
        <w:t>r. – Kodeks postępowania administracyjnego</w:t>
      </w:r>
      <w:r w:rsidRPr="004E0F02">
        <w:rPr>
          <w:rFonts w:eastAsia="Calibri" w:cs="Times New Roman"/>
          <w:szCs w:val="24"/>
          <w:vertAlign w:val="superscript"/>
          <w:lang w:eastAsia="en-US"/>
        </w:rPr>
        <w:footnoteReference w:id="39"/>
      </w:r>
      <w:r w:rsidRPr="004E0F02">
        <w:rPr>
          <w:rFonts w:eastAsia="Times New Roman" w:cs="Times New Roman"/>
          <w:szCs w:val="24"/>
          <w:vertAlign w:val="superscript"/>
        </w:rPr>
        <w:t>)</w:t>
      </w:r>
      <w:r w:rsidRPr="004E0F02">
        <w:rPr>
          <w:rFonts w:eastAsia="Calibri" w:cs="Times New Roman"/>
          <w:szCs w:val="24"/>
          <w:lang w:eastAsia="en-US"/>
        </w:rPr>
        <w:t xml:space="preserve"> co powoduje, że rozstrzygnięcie podmiotu zobowiązanego podlega kontroli instancyjnej,</w:t>
      </w:r>
      <w:r w:rsidR="00E45B1D" w:rsidRPr="004E0F02">
        <w:rPr>
          <w:rFonts w:eastAsia="Calibri" w:cs="Times New Roman"/>
          <w:szCs w:val="24"/>
          <w:lang w:eastAsia="en-US"/>
        </w:rPr>
        <w:t xml:space="preserve"> a </w:t>
      </w:r>
      <w:r w:rsidRPr="004E0F02">
        <w:rPr>
          <w:rFonts w:eastAsia="Calibri" w:cs="Times New Roman"/>
          <w:szCs w:val="24"/>
          <w:lang w:eastAsia="en-US"/>
        </w:rPr>
        <w:t>następnie sądowoadministracyjnej. Projekt ustawy przewiduje zmianę</w:t>
      </w:r>
      <w:r w:rsidR="00E45B1D" w:rsidRPr="004E0F02">
        <w:rPr>
          <w:rFonts w:eastAsia="Calibri" w:cs="Times New Roman"/>
          <w:szCs w:val="24"/>
          <w:lang w:eastAsia="en-US"/>
        </w:rPr>
        <w:t xml:space="preserve"> w </w:t>
      </w:r>
      <w:r w:rsidRPr="004E0F02">
        <w:rPr>
          <w:rFonts w:eastAsia="Calibri" w:cs="Times New Roman"/>
          <w:szCs w:val="24"/>
          <w:lang w:eastAsia="en-US"/>
        </w:rPr>
        <w:t>zakresie trybu odwoławczego od decyzji wydawanych przez podmioty zobowiązane. Przepisy ustawy</w:t>
      </w:r>
      <w:r w:rsidR="00E45B1D" w:rsidRPr="004E0F02">
        <w:rPr>
          <w:rFonts w:eastAsia="Calibri" w:cs="Times New Roman"/>
          <w:szCs w:val="24"/>
          <w:lang w:eastAsia="en-US"/>
        </w:rPr>
        <w:t xml:space="preserve"> z </w:t>
      </w:r>
      <w:r w:rsidRPr="004E0F02">
        <w:rPr>
          <w:rFonts w:eastAsia="Calibri" w:cs="Times New Roman"/>
          <w:szCs w:val="24"/>
          <w:lang w:eastAsia="en-US"/>
        </w:rPr>
        <w:t>201</w:t>
      </w:r>
      <w:r w:rsidR="00E45B1D" w:rsidRPr="004E0F02">
        <w:rPr>
          <w:rFonts w:eastAsia="Calibri" w:cs="Times New Roman"/>
          <w:szCs w:val="24"/>
          <w:lang w:eastAsia="en-US"/>
        </w:rPr>
        <w:t>6 </w:t>
      </w:r>
      <w:r w:rsidRPr="004E0F02">
        <w:rPr>
          <w:rFonts w:eastAsia="Calibri" w:cs="Times New Roman"/>
          <w:szCs w:val="24"/>
          <w:lang w:eastAsia="en-US"/>
        </w:rPr>
        <w:t>r. nie wprowadzały szczególnych rozwiązań proceduralnych</w:t>
      </w:r>
      <w:r w:rsidR="00E45B1D" w:rsidRPr="004E0F02">
        <w:rPr>
          <w:rFonts w:eastAsia="Calibri" w:cs="Times New Roman"/>
          <w:szCs w:val="24"/>
          <w:lang w:eastAsia="en-US"/>
        </w:rPr>
        <w:t xml:space="preserve"> w </w:t>
      </w:r>
      <w:r w:rsidRPr="004E0F02">
        <w:rPr>
          <w:rFonts w:eastAsia="Calibri" w:cs="Times New Roman"/>
          <w:szCs w:val="24"/>
          <w:lang w:eastAsia="en-US"/>
        </w:rPr>
        <w:t>zakresie postępowania odwoławczego. Zastosowanie znajdowały</w:t>
      </w:r>
      <w:r w:rsidR="00E45B1D" w:rsidRPr="004E0F02">
        <w:rPr>
          <w:rFonts w:eastAsia="Calibri" w:cs="Times New Roman"/>
          <w:szCs w:val="24"/>
          <w:lang w:eastAsia="en-US"/>
        </w:rPr>
        <w:t xml:space="preserve"> w </w:t>
      </w:r>
      <w:r w:rsidRPr="004E0F02">
        <w:rPr>
          <w:rFonts w:eastAsia="Calibri" w:cs="Times New Roman"/>
          <w:szCs w:val="24"/>
          <w:lang w:eastAsia="en-US"/>
        </w:rPr>
        <w:t>pełni przepisy Kodeksu postępowania administracyjnego</w:t>
      </w:r>
      <w:r w:rsidR="00E45B1D" w:rsidRPr="004E0F02">
        <w:rPr>
          <w:rFonts w:eastAsia="Calibri" w:cs="Times New Roman"/>
          <w:szCs w:val="24"/>
          <w:lang w:eastAsia="en-US"/>
        </w:rPr>
        <w:t xml:space="preserve"> i </w:t>
      </w:r>
      <w:r w:rsidRPr="004E0F02">
        <w:rPr>
          <w:rFonts w:eastAsia="Calibri" w:cs="Times New Roman"/>
          <w:szCs w:val="24"/>
          <w:lang w:eastAsia="en-US"/>
        </w:rPr>
        <w:t>właściwym do rozpatrzenia odwołania od decyzji wydanej przez podmiot zobowiązany był organ administracji publicznej wyższego stopnia (zgodnie</w:t>
      </w:r>
      <w:r w:rsidR="00E45B1D" w:rsidRPr="004E0F02">
        <w:rPr>
          <w:rFonts w:eastAsia="Calibri" w:cs="Times New Roman"/>
          <w:szCs w:val="24"/>
          <w:lang w:eastAsia="en-US"/>
        </w:rPr>
        <w:t xml:space="preserve"> z art. </w:t>
      </w:r>
      <w:r w:rsidRPr="004E0F02">
        <w:rPr>
          <w:rFonts w:eastAsia="Calibri" w:cs="Times New Roman"/>
          <w:szCs w:val="24"/>
          <w:lang w:eastAsia="en-US"/>
        </w:rPr>
        <w:t>12</w:t>
      </w:r>
      <w:r w:rsidR="00E45B1D" w:rsidRPr="004E0F02">
        <w:rPr>
          <w:rFonts w:eastAsia="Calibri" w:cs="Times New Roman"/>
          <w:szCs w:val="24"/>
          <w:lang w:eastAsia="en-US"/>
        </w:rPr>
        <w:t>7 § 2 </w:t>
      </w:r>
      <w:r w:rsidRPr="004E0F02">
        <w:rPr>
          <w:rFonts w:eastAsia="Calibri" w:cs="Times New Roman"/>
          <w:szCs w:val="24"/>
          <w:lang w:eastAsia="en-US"/>
        </w:rPr>
        <w:t>k.p.a. właściwym do rozpatrzenia odwołania jest organ administracji publicznej wyższego stopnia, chyba że ustawa przewiduje inny organ odwoławczy).</w:t>
      </w:r>
      <w:r w:rsidR="00E45B1D" w:rsidRPr="004E0F02">
        <w:rPr>
          <w:rFonts w:eastAsia="Calibri" w:cs="Times New Roman"/>
          <w:szCs w:val="24"/>
          <w:lang w:eastAsia="en-US"/>
        </w:rPr>
        <w:t xml:space="preserve"> W </w:t>
      </w:r>
      <w:r w:rsidRPr="004E0F02">
        <w:rPr>
          <w:rFonts w:eastAsia="Calibri" w:cs="Times New Roman"/>
          <w:szCs w:val="24"/>
          <w:lang w:eastAsia="en-US"/>
        </w:rPr>
        <w:t>projekcie ustawy proponuje się wprowadzenie przepisów szczególnych w</w:t>
      </w:r>
      <w:r w:rsidR="00BD27D8" w:rsidRPr="004E0F02">
        <w:rPr>
          <w:rFonts w:eastAsia="Calibri" w:cs="Times New Roman"/>
          <w:szCs w:val="24"/>
          <w:lang w:eastAsia="en-US"/>
        </w:rPr>
        <w:t> </w:t>
      </w:r>
      <w:r w:rsidRPr="004E0F02">
        <w:rPr>
          <w:rFonts w:eastAsia="Calibri" w:cs="Times New Roman"/>
          <w:szCs w:val="24"/>
          <w:lang w:eastAsia="en-US"/>
        </w:rPr>
        <w:t>stosunku do rozwiązań ogólnej procedury administracyjnej. Zgodnie</w:t>
      </w:r>
      <w:r w:rsidR="00E45B1D" w:rsidRPr="004E0F02">
        <w:rPr>
          <w:rFonts w:eastAsia="Calibri" w:cs="Times New Roman"/>
          <w:szCs w:val="24"/>
          <w:lang w:eastAsia="en-US"/>
        </w:rPr>
        <w:t xml:space="preserve"> z art. </w:t>
      </w:r>
      <w:r w:rsidR="002E7269" w:rsidRPr="004E0F02">
        <w:rPr>
          <w:rFonts w:eastAsia="Calibri" w:cs="Times New Roman"/>
          <w:szCs w:val="24"/>
          <w:lang w:eastAsia="en-US"/>
        </w:rPr>
        <w:t xml:space="preserve">46 </w:t>
      </w:r>
      <w:r w:rsidR="00E45B1D" w:rsidRPr="004E0F02">
        <w:rPr>
          <w:rFonts w:eastAsia="Calibri" w:cs="Times New Roman"/>
          <w:szCs w:val="24"/>
          <w:lang w:eastAsia="en-US"/>
        </w:rPr>
        <w:t>ust. 1 </w:t>
      </w:r>
      <w:r w:rsidRPr="004E0F02">
        <w:rPr>
          <w:rFonts w:eastAsia="Calibri" w:cs="Times New Roman"/>
          <w:szCs w:val="24"/>
          <w:lang w:eastAsia="en-US"/>
        </w:rPr>
        <w:t>projektu ustawy organem odwoławczym od decyzji</w:t>
      </w:r>
      <w:r w:rsidR="00E45B1D" w:rsidRPr="004E0F02">
        <w:rPr>
          <w:rFonts w:eastAsia="Calibri" w:cs="Times New Roman"/>
          <w:szCs w:val="24"/>
          <w:lang w:eastAsia="en-US"/>
        </w:rPr>
        <w:t xml:space="preserve"> o </w:t>
      </w:r>
      <w:r w:rsidRPr="004E0F02">
        <w:rPr>
          <w:rFonts w:eastAsia="Calibri" w:cs="Times New Roman"/>
          <w:szCs w:val="24"/>
          <w:lang w:eastAsia="en-US"/>
        </w:rPr>
        <w:t>odmowie wyrażenia zgody na ponowne wykorzystywanie informacji sektora publicznego oraz od decyzji</w:t>
      </w:r>
      <w:r w:rsidR="00E45B1D" w:rsidRPr="004E0F02">
        <w:rPr>
          <w:rFonts w:eastAsia="Calibri" w:cs="Times New Roman"/>
          <w:szCs w:val="24"/>
          <w:lang w:eastAsia="en-US"/>
        </w:rPr>
        <w:t xml:space="preserve"> o </w:t>
      </w:r>
      <w:r w:rsidRPr="004E0F02">
        <w:rPr>
          <w:rFonts w:eastAsia="Calibri" w:cs="Times New Roman"/>
          <w:szCs w:val="24"/>
          <w:lang w:eastAsia="en-US"/>
        </w:rPr>
        <w:t>warunkach ponownego wykorzystywania lub</w:t>
      </w:r>
      <w:r w:rsidR="00E45B1D" w:rsidRPr="004E0F02">
        <w:rPr>
          <w:rFonts w:eastAsia="Calibri" w:cs="Times New Roman"/>
          <w:szCs w:val="24"/>
          <w:lang w:eastAsia="en-US"/>
        </w:rPr>
        <w:t xml:space="preserve"> o </w:t>
      </w:r>
      <w:r w:rsidRPr="004E0F02">
        <w:rPr>
          <w:rFonts w:eastAsia="Calibri" w:cs="Times New Roman"/>
          <w:szCs w:val="24"/>
          <w:lang w:eastAsia="en-US"/>
        </w:rPr>
        <w:t>wysokości opłat za ponowne wykorzystywanie będzie minister właściwy do spraw informatyzacji</w:t>
      </w:r>
      <w:r w:rsidR="002E7269" w:rsidRPr="004E0F02">
        <w:rPr>
          <w:rFonts w:eastAsia="Calibri" w:cs="Times New Roman"/>
          <w:szCs w:val="24"/>
          <w:lang w:eastAsia="en-US"/>
        </w:rPr>
        <w:t xml:space="preserve"> (przepis art. 127 § 3 k.p.a. stosuje się)</w:t>
      </w:r>
      <w:r w:rsidRPr="004E0F02">
        <w:rPr>
          <w:rFonts w:eastAsia="Calibri" w:cs="Times New Roman"/>
          <w:szCs w:val="24"/>
          <w:lang w:eastAsia="en-US"/>
        </w:rPr>
        <w:t>. Zgodnie</w:t>
      </w:r>
      <w:r w:rsidR="00E45B1D" w:rsidRPr="004E0F02">
        <w:rPr>
          <w:rFonts w:eastAsia="Calibri" w:cs="Times New Roman"/>
          <w:szCs w:val="24"/>
          <w:lang w:eastAsia="en-US"/>
        </w:rPr>
        <w:t xml:space="preserve"> z art. 4 ust. 4 </w:t>
      </w:r>
      <w:r w:rsidRPr="004E0F02">
        <w:rPr>
          <w:rFonts w:eastAsia="Calibri" w:cs="Times New Roman"/>
          <w:szCs w:val="24"/>
          <w:lang w:eastAsia="en-US"/>
        </w:rPr>
        <w:t>dyrektywy 2019/1024/UE środki odwoławcze od decyzji dotyczących ponownego wykorzystywania obejmować powinny możliwość kontroli takich rozstrzygnięć przez bezstronny organ odwoławczy posiadający odpowiednią wiedzę specjalistyczną – taki jak krajowy organ ochrony konkurencji, odpowiedni organ regulujący dostęp do dokumentów, organ nadzorczy ustanowiony zgodnie z</w:t>
      </w:r>
      <w:r w:rsidR="00725D1D" w:rsidRPr="004E0F02">
        <w:rPr>
          <w:rFonts w:eastAsia="Calibri" w:cs="Times New Roman"/>
          <w:szCs w:val="24"/>
          <w:lang w:eastAsia="en-US"/>
        </w:rPr>
        <w:t> </w:t>
      </w:r>
      <w:r w:rsidRPr="004E0F02">
        <w:rPr>
          <w:rFonts w:eastAsia="Calibri" w:cs="Times New Roman"/>
          <w:szCs w:val="24"/>
          <w:lang w:eastAsia="en-US"/>
        </w:rPr>
        <w:t>rozporządzeniem (UE) 2016/67</w:t>
      </w:r>
      <w:r w:rsidR="00E45B1D" w:rsidRPr="004E0F02">
        <w:rPr>
          <w:rFonts w:eastAsia="Calibri" w:cs="Times New Roman"/>
          <w:szCs w:val="24"/>
          <w:lang w:eastAsia="en-US"/>
        </w:rPr>
        <w:t>9 lub</w:t>
      </w:r>
      <w:r w:rsidRPr="004E0F02">
        <w:rPr>
          <w:rFonts w:eastAsia="Calibri" w:cs="Times New Roman"/>
          <w:szCs w:val="24"/>
          <w:lang w:eastAsia="en-US"/>
        </w:rPr>
        <w:t xml:space="preserve"> krajowy organ sądowy – którego decyzje są wiążące dla danego organu sektora publicznego. Minister właściwy do spraw informatyzacji jako organ właściwy</w:t>
      </w:r>
      <w:r w:rsidR="00E45B1D" w:rsidRPr="004E0F02">
        <w:rPr>
          <w:rFonts w:eastAsia="Calibri" w:cs="Times New Roman"/>
          <w:szCs w:val="24"/>
          <w:lang w:eastAsia="en-US"/>
        </w:rPr>
        <w:t xml:space="preserve"> w </w:t>
      </w:r>
      <w:r w:rsidRPr="004E0F02">
        <w:rPr>
          <w:rFonts w:eastAsia="Calibri" w:cs="Times New Roman"/>
          <w:szCs w:val="24"/>
          <w:lang w:eastAsia="en-US"/>
        </w:rPr>
        <w:t>sprawach</w:t>
      </w:r>
      <w:r w:rsidR="00E45B1D" w:rsidRPr="004E0F02">
        <w:rPr>
          <w:rFonts w:eastAsia="Calibri" w:cs="Times New Roman"/>
          <w:szCs w:val="24"/>
          <w:lang w:eastAsia="en-US"/>
        </w:rPr>
        <w:t xml:space="preserve"> z </w:t>
      </w:r>
      <w:r w:rsidRPr="004E0F02">
        <w:rPr>
          <w:rFonts w:eastAsia="Calibri" w:cs="Times New Roman"/>
          <w:szCs w:val="24"/>
          <w:lang w:eastAsia="en-US"/>
        </w:rPr>
        <w:t>zakresu ponownego wykorzystywania informacji sektora publicznego (organ regulujący dostęp do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Polsce), rozpatrując odwołania od decyzji wydawanych przez podmioty zobowiązane, pełnić będzie</w:t>
      </w:r>
      <w:r w:rsidR="00E45B1D" w:rsidRPr="004E0F02">
        <w:rPr>
          <w:rFonts w:eastAsia="Calibri" w:cs="Times New Roman"/>
          <w:szCs w:val="24"/>
          <w:lang w:eastAsia="en-US"/>
        </w:rPr>
        <w:t xml:space="preserve"> w </w:t>
      </w:r>
      <w:r w:rsidRPr="004E0F02">
        <w:rPr>
          <w:rFonts w:eastAsia="Calibri" w:cs="Times New Roman"/>
          <w:szCs w:val="24"/>
          <w:lang w:eastAsia="en-US"/>
        </w:rPr>
        <w:t>ten sposób (jako organ II instancji) rolę bezstronnego organu odwoławczego posiadającego odpowiednią wiedzę specjalistyczną. Proponowane zmiany dotyczyć będą jednak jedynie decyzji, od których na</w:t>
      </w:r>
      <w:r w:rsidR="008735BF" w:rsidRPr="004E0F02">
        <w:rPr>
          <w:rFonts w:eastAsia="Calibri" w:cs="Times New Roman"/>
          <w:szCs w:val="24"/>
          <w:lang w:eastAsia="en-US"/>
        </w:rPr>
        <w:t> </w:t>
      </w:r>
      <w:r w:rsidRPr="004E0F02">
        <w:rPr>
          <w:rFonts w:eastAsia="Calibri" w:cs="Times New Roman"/>
          <w:szCs w:val="24"/>
          <w:lang w:eastAsia="en-US"/>
        </w:rPr>
        <w:t>podstawie przepisów Kodeksu postępowania administracyjnego stronie służy odwołanie (art. 12</w:t>
      </w:r>
      <w:r w:rsidR="00E45B1D" w:rsidRPr="004E0F02">
        <w:rPr>
          <w:rFonts w:eastAsia="Calibri" w:cs="Times New Roman"/>
          <w:szCs w:val="24"/>
          <w:lang w:eastAsia="en-US"/>
        </w:rPr>
        <w:t>7 § 2 </w:t>
      </w:r>
      <w:r w:rsidRPr="004E0F02">
        <w:rPr>
          <w:rFonts w:eastAsia="Calibri" w:cs="Times New Roman"/>
          <w:szCs w:val="24"/>
          <w:lang w:eastAsia="en-US"/>
        </w:rPr>
        <w:t>k.p.a.).</w:t>
      </w:r>
      <w:r w:rsidR="00E45B1D" w:rsidRPr="004E0F02">
        <w:rPr>
          <w:rFonts w:eastAsia="Calibri" w:cs="Times New Roman"/>
          <w:szCs w:val="24"/>
          <w:lang w:eastAsia="en-US"/>
        </w:rPr>
        <w:t xml:space="preserve"> W </w:t>
      </w:r>
      <w:r w:rsidRPr="004E0F02">
        <w:rPr>
          <w:rFonts w:eastAsia="Calibri" w:cs="Times New Roman"/>
          <w:szCs w:val="24"/>
          <w:lang w:eastAsia="en-US"/>
        </w:rPr>
        <w:t>przypadku, decyzji wydanych</w:t>
      </w:r>
      <w:r w:rsidR="00E45B1D" w:rsidRPr="004E0F02">
        <w:rPr>
          <w:rFonts w:eastAsia="Calibri" w:cs="Times New Roman"/>
          <w:szCs w:val="24"/>
          <w:lang w:eastAsia="en-US"/>
        </w:rPr>
        <w:t xml:space="preserve"> w </w:t>
      </w:r>
      <w:r w:rsidRPr="004E0F02">
        <w:rPr>
          <w:rFonts w:eastAsia="Calibri" w:cs="Times New Roman"/>
          <w:szCs w:val="24"/>
          <w:lang w:eastAsia="en-US"/>
        </w:rPr>
        <w:t>pierwszej instancji przez ministra lub samorządowe kolegium odwoławcze (na które zgodnie</w:t>
      </w:r>
      <w:r w:rsidR="00E45B1D" w:rsidRPr="004E0F02">
        <w:rPr>
          <w:rFonts w:eastAsia="Calibri" w:cs="Times New Roman"/>
          <w:szCs w:val="24"/>
          <w:lang w:eastAsia="en-US"/>
        </w:rPr>
        <w:t xml:space="preserve"> z art. </w:t>
      </w:r>
      <w:r w:rsidRPr="004E0F02">
        <w:rPr>
          <w:rFonts w:eastAsia="Calibri" w:cs="Times New Roman"/>
          <w:szCs w:val="24"/>
          <w:lang w:eastAsia="en-US"/>
        </w:rPr>
        <w:t>12</w:t>
      </w:r>
      <w:r w:rsidR="00E45B1D" w:rsidRPr="004E0F02">
        <w:rPr>
          <w:rFonts w:eastAsia="Calibri" w:cs="Times New Roman"/>
          <w:szCs w:val="24"/>
          <w:lang w:eastAsia="en-US"/>
        </w:rPr>
        <w:t>7 § 3 </w:t>
      </w:r>
      <w:r w:rsidRPr="004E0F02">
        <w:rPr>
          <w:rFonts w:eastAsia="Calibri" w:cs="Times New Roman"/>
          <w:szCs w:val="24"/>
          <w:lang w:eastAsia="en-US"/>
        </w:rPr>
        <w:t xml:space="preserve">k.p.a. nie służy odwołanie) zastosowanie znajdować będą nadal przepisy Kodeksu postępowania administracyjnego </w:t>
      </w:r>
      <w:r w:rsidR="00E45B1D" w:rsidRPr="004E0F02">
        <w:rPr>
          <w:rFonts w:eastAsia="Calibri" w:cs="Times New Roman"/>
          <w:szCs w:val="24"/>
          <w:lang w:eastAsia="en-US"/>
        </w:rPr>
        <w:noBreakHyphen/>
        <w:t xml:space="preserve"> </w:t>
      </w:r>
      <w:r w:rsidRPr="004E0F02">
        <w:rPr>
          <w:rFonts w:eastAsia="Calibri" w:cs="Times New Roman"/>
          <w:szCs w:val="24"/>
          <w:lang w:eastAsia="en-US"/>
        </w:rPr>
        <w:t>strona będzie mogła zwrócić się do tego organu z wnioskiem</w:t>
      </w:r>
      <w:r w:rsidR="00E45B1D" w:rsidRPr="004E0F02">
        <w:rPr>
          <w:rFonts w:eastAsia="Calibri" w:cs="Times New Roman"/>
          <w:szCs w:val="24"/>
          <w:lang w:eastAsia="en-US"/>
        </w:rPr>
        <w:t xml:space="preserve"> o </w:t>
      </w:r>
      <w:r w:rsidRPr="004E0F02">
        <w:rPr>
          <w:rFonts w:eastAsia="Calibri" w:cs="Times New Roman"/>
          <w:szCs w:val="24"/>
          <w:lang w:eastAsia="en-US"/>
        </w:rPr>
        <w:t xml:space="preserve">ponowne </w:t>
      </w:r>
      <w:r w:rsidR="00687090" w:rsidRPr="004E0F02">
        <w:rPr>
          <w:rFonts w:eastAsia="Calibri" w:cs="Times New Roman"/>
          <w:szCs w:val="24"/>
          <w:lang w:eastAsia="en-US"/>
        </w:rPr>
        <w:t>rozpatrzenie sprawy.</w:t>
      </w:r>
    </w:p>
    <w:p w14:paraId="33F4F5F4" w14:textId="7FE2D5FE"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 xml:space="preserve">Do skarg rozpatrywanych w postępowaniach dotyczących przekazywania na wniosek informacji sektora publicznej oraz ich ponownego wykorzystywanie zastosowanie mają </w:t>
      </w:r>
      <w:r w:rsidRPr="004E0F02">
        <w:rPr>
          <w:rFonts w:eastAsia="Calibri" w:cs="Times New Roman"/>
          <w:szCs w:val="24"/>
          <w:lang w:eastAsia="en-US"/>
        </w:rPr>
        <w:lastRenderedPageBreak/>
        <w:t>przepisy ustawy</w:t>
      </w:r>
      <w:r w:rsidR="00E45B1D" w:rsidRPr="004E0F02">
        <w:rPr>
          <w:rFonts w:eastAsia="Calibri" w:cs="Times New Roman"/>
          <w:szCs w:val="24"/>
          <w:lang w:eastAsia="en-US"/>
        </w:rPr>
        <w:t xml:space="preserve"> z </w:t>
      </w:r>
      <w:r w:rsidRPr="004E0F02">
        <w:rPr>
          <w:rFonts w:eastAsia="Calibri" w:cs="Times New Roman"/>
          <w:szCs w:val="24"/>
          <w:lang w:eastAsia="en-US"/>
        </w:rPr>
        <w:t>dnia 3</w:t>
      </w:r>
      <w:r w:rsidR="00E45B1D" w:rsidRPr="004E0F02">
        <w:rPr>
          <w:rFonts w:eastAsia="Calibri" w:cs="Times New Roman"/>
          <w:szCs w:val="24"/>
          <w:lang w:eastAsia="en-US"/>
        </w:rPr>
        <w:t>0 </w:t>
      </w:r>
      <w:r w:rsidRPr="004E0F02">
        <w:rPr>
          <w:rFonts w:eastAsia="Calibri" w:cs="Times New Roman"/>
          <w:szCs w:val="24"/>
          <w:lang w:eastAsia="en-US"/>
        </w:rPr>
        <w:t>sierpnia 200</w:t>
      </w:r>
      <w:r w:rsidR="00E45B1D" w:rsidRPr="004E0F02">
        <w:rPr>
          <w:rFonts w:eastAsia="Calibri" w:cs="Times New Roman"/>
          <w:szCs w:val="24"/>
          <w:lang w:eastAsia="en-US"/>
        </w:rPr>
        <w:t>2 </w:t>
      </w:r>
      <w:r w:rsidRPr="004E0F02">
        <w:rPr>
          <w:rFonts w:eastAsia="Calibri" w:cs="Times New Roman"/>
          <w:szCs w:val="24"/>
          <w:lang w:eastAsia="en-US"/>
        </w:rPr>
        <w:t>r. – Prawo</w:t>
      </w:r>
      <w:r w:rsidR="00E45B1D" w:rsidRPr="004E0F02">
        <w:rPr>
          <w:rFonts w:eastAsia="Calibri" w:cs="Times New Roman"/>
          <w:szCs w:val="24"/>
          <w:lang w:eastAsia="en-US"/>
        </w:rPr>
        <w:t xml:space="preserve"> o </w:t>
      </w:r>
      <w:r w:rsidRPr="004E0F02">
        <w:rPr>
          <w:rFonts w:eastAsia="Calibri" w:cs="Times New Roman"/>
          <w:szCs w:val="24"/>
          <w:lang w:eastAsia="en-US"/>
        </w:rPr>
        <w:t>postępowaniu przed sądami administracyjnymi</w:t>
      </w:r>
      <w:r w:rsidRPr="004E0F02">
        <w:rPr>
          <w:rFonts w:eastAsia="Calibri" w:cs="Times New Roman"/>
          <w:szCs w:val="24"/>
          <w:vertAlign w:val="superscript"/>
          <w:lang w:eastAsia="en-US"/>
        </w:rPr>
        <w:footnoteReference w:id="40"/>
      </w:r>
      <w:r w:rsidRPr="004E0F02">
        <w:rPr>
          <w:rFonts w:eastAsia="Times New Roman" w:cs="Times New Roman"/>
          <w:szCs w:val="24"/>
          <w:vertAlign w:val="superscript"/>
        </w:rPr>
        <w:t>)</w:t>
      </w:r>
      <w:r w:rsidRPr="004E0F02">
        <w:rPr>
          <w:rFonts w:eastAsia="Calibri" w:cs="Times New Roman"/>
          <w:szCs w:val="24"/>
          <w:lang w:eastAsia="en-US"/>
        </w:rPr>
        <w:t>,</w:t>
      </w:r>
      <w:r w:rsidR="00E45B1D" w:rsidRPr="004E0F02">
        <w:rPr>
          <w:rFonts w:eastAsia="Calibri" w:cs="Times New Roman"/>
          <w:szCs w:val="24"/>
          <w:lang w:eastAsia="en-US"/>
        </w:rPr>
        <w:t xml:space="preserve"> z </w:t>
      </w:r>
      <w:r w:rsidRPr="004E0F02">
        <w:rPr>
          <w:rFonts w:eastAsia="Calibri" w:cs="Times New Roman"/>
          <w:szCs w:val="24"/>
          <w:lang w:eastAsia="en-US"/>
        </w:rPr>
        <w:t>tym że przekazanie akt</w:t>
      </w:r>
      <w:r w:rsidR="00E45B1D" w:rsidRPr="004E0F02">
        <w:rPr>
          <w:rFonts w:eastAsia="Calibri" w:cs="Times New Roman"/>
          <w:szCs w:val="24"/>
          <w:lang w:eastAsia="en-US"/>
        </w:rPr>
        <w:t xml:space="preserve"> i </w:t>
      </w:r>
      <w:r w:rsidRPr="004E0F02">
        <w:rPr>
          <w:rFonts w:eastAsia="Calibri" w:cs="Times New Roman"/>
          <w:szCs w:val="24"/>
          <w:lang w:eastAsia="en-US"/>
        </w:rPr>
        <w:t>odpowiedzi na skargę następuje</w:t>
      </w:r>
      <w:r w:rsidR="00E45B1D" w:rsidRPr="004E0F02">
        <w:rPr>
          <w:rFonts w:eastAsia="Calibri" w:cs="Times New Roman"/>
          <w:szCs w:val="24"/>
          <w:lang w:eastAsia="en-US"/>
        </w:rPr>
        <w:t xml:space="preserve"> w </w:t>
      </w:r>
      <w:r w:rsidRPr="004E0F02">
        <w:rPr>
          <w:rFonts w:eastAsia="Calibri" w:cs="Times New Roman"/>
          <w:szCs w:val="24"/>
          <w:lang w:eastAsia="en-US"/>
        </w:rPr>
        <w:t>terminie 15</w:t>
      </w:r>
      <w:r w:rsidR="008735BF" w:rsidRPr="004E0F02">
        <w:rPr>
          <w:rFonts w:eastAsia="Calibri" w:cs="Times New Roman"/>
          <w:szCs w:val="24"/>
          <w:lang w:eastAsia="en-US"/>
        </w:rPr>
        <w:t> </w:t>
      </w:r>
      <w:r w:rsidRPr="004E0F02">
        <w:rPr>
          <w:rFonts w:eastAsia="Calibri" w:cs="Times New Roman"/>
          <w:szCs w:val="24"/>
          <w:lang w:eastAsia="en-US"/>
        </w:rPr>
        <w:t>dni od dnia otrzymania skargi, natomiast skargę rozpatruje się</w:t>
      </w:r>
      <w:r w:rsidR="00E45B1D" w:rsidRPr="004E0F02">
        <w:rPr>
          <w:rFonts w:eastAsia="Calibri" w:cs="Times New Roman"/>
          <w:szCs w:val="24"/>
          <w:lang w:eastAsia="en-US"/>
        </w:rPr>
        <w:t xml:space="preserve"> w </w:t>
      </w:r>
      <w:r w:rsidRPr="004E0F02">
        <w:rPr>
          <w:rFonts w:eastAsia="Calibri" w:cs="Times New Roman"/>
          <w:szCs w:val="24"/>
          <w:lang w:eastAsia="en-US"/>
        </w:rPr>
        <w:t>terminie 3</w:t>
      </w:r>
      <w:r w:rsidR="00E45B1D" w:rsidRPr="004E0F02">
        <w:rPr>
          <w:rFonts w:eastAsia="Calibri" w:cs="Times New Roman"/>
          <w:szCs w:val="24"/>
          <w:lang w:eastAsia="en-US"/>
        </w:rPr>
        <w:t>0 </w:t>
      </w:r>
      <w:r w:rsidRPr="004E0F02">
        <w:rPr>
          <w:rFonts w:eastAsia="Calibri" w:cs="Times New Roman"/>
          <w:szCs w:val="24"/>
          <w:lang w:eastAsia="en-US"/>
        </w:rPr>
        <w:t>dni od dnia otrzymania akt wraz</w:t>
      </w:r>
      <w:r w:rsidR="00E45B1D" w:rsidRPr="004E0F02">
        <w:rPr>
          <w:rFonts w:eastAsia="Calibri" w:cs="Times New Roman"/>
          <w:szCs w:val="24"/>
          <w:lang w:eastAsia="en-US"/>
        </w:rPr>
        <w:t xml:space="preserve"> z </w:t>
      </w:r>
      <w:r w:rsidRPr="004E0F02">
        <w:rPr>
          <w:rFonts w:eastAsia="Calibri" w:cs="Times New Roman"/>
          <w:szCs w:val="24"/>
          <w:lang w:eastAsia="en-US"/>
        </w:rPr>
        <w:t>odpowiedzią na skargę.</w:t>
      </w:r>
    </w:p>
    <w:p w14:paraId="578C63FC" w14:textId="122B7833"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w:t>
      </w:r>
      <w:r w:rsidR="00E45B1D" w:rsidRPr="004E0F02">
        <w:rPr>
          <w:rFonts w:eastAsia="Calibri" w:cs="Times New Roman"/>
          <w:szCs w:val="24"/>
          <w:lang w:eastAsia="en-US"/>
        </w:rPr>
        <w:t xml:space="preserve"> z art. </w:t>
      </w:r>
      <w:r w:rsidR="00A977F5" w:rsidRPr="004E0F02">
        <w:rPr>
          <w:rFonts w:eastAsia="Calibri" w:cs="Times New Roman"/>
          <w:szCs w:val="24"/>
          <w:lang w:eastAsia="en-US"/>
        </w:rPr>
        <w:t xml:space="preserve">47 </w:t>
      </w:r>
      <w:r w:rsidR="00E45B1D" w:rsidRPr="004E0F02">
        <w:rPr>
          <w:rFonts w:eastAsia="Calibri" w:cs="Times New Roman"/>
          <w:szCs w:val="24"/>
          <w:lang w:eastAsia="en-US"/>
        </w:rPr>
        <w:t>ust. 1 </w:t>
      </w:r>
      <w:r w:rsidRPr="004E0F02">
        <w:rPr>
          <w:rFonts w:eastAsia="Calibri" w:cs="Times New Roman"/>
          <w:szCs w:val="24"/>
          <w:lang w:eastAsia="en-US"/>
        </w:rPr>
        <w:t>projektu ustawy przepisów dotyczących rozpatrywania wniosków o</w:t>
      </w:r>
      <w:r w:rsidR="00E532FA" w:rsidRPr="004E0F02">
        <w:rPr>
          <w:rFonts w:eastAsia="Calibri" w:cs="Times New Roman"/>
          <w:szCs w:val="24"/>
          <w:lang w:eastAsia="en-US"/>
        </w:rPr>
        <w:t> </w:t>
      </w:r>
      <w:r w:rsidRPr="004E0F02">
        <w:rPr>
          <w:rFonts w:eastAsia="Calibri" w:cs="Times New Roman"/>
          <w:szCs w:val="24"/>
          <w:lang w:eastAsia="en-US"/>
        </w:rPr>
        <w:t>ponowne wykorzystywanie (przepisów rozdziału 9) nie stosuje się do przekazywania informacji sektora publicznego przez podmioty zobowiązane,</w:t>
      </w:r>
      <w:r w:rsidR="00E45B1D" w:rsidRPr="004E0F02">
        <w:rPr>
          <w:rFonts w:eastAsia="Calibri" w:cs="Times New Roman"/>
          <w:szCs w:val="24"/>
          <w:lang w:eastAsia="en-US"/>
        </w:rPr>
        <w:t xml:space="preserve"> o </w:t>
      </w:r>
      <w:r w:rsidRPr="004E0F02">
        <w:rPr>
          <w:rFonts w:eastAsia="Calibri" w:cs="Times New Roman"/>
          <w:szCs w:val="24"/>
          <w:lang w:eastAsia="en-US"/>
        </w:rPr>
        <w:t>których mowa</w:t>
      </w:r>
      <w:r w:rsidR="00E45B1D" w:rsidRPr="004E0F02">
        <w:rPr>
          <w:rFonts w:eastAsia="Calibri" w:cs="Times New Roman"/>
          <w:szCs w:val="24"/>
          <w:lang w:eastAsia="en-US"/>
        </w:rPr>
        <w:t xml:space="preserve"> w art. 3 pkt 5 </w:t>
      </w:r>
      <w:r w:rsidRPr="004E0F02">
        <w:rPr>
          <w:rFonts w:eastAsia="Calibri" w:cs="Times New Roman"/>
          <w:szCs w:val="24"/>
          <w:lang w:eastAsia="en-US"/>
        </w:rPr>
        <w:t>projektu ustawy. Przepis ten jest konsekwencją wyłączenia na gruncie dyrektywy 2019/1024/UE przedsiębiorstw publicznych z regulacji dotyczących przetwarzanie wniosków</w:t>
      </w:r>
      <w:r w:rsidR="00E45B1D" w:rsidRPr="004E0F02">
        <w:rPr>
          <w:rFonts w:eastAsia="Calibri" w:cs="Times New Roman"/>
          <w:szCs w:val="24"/>
          <w:lang w:eastAsia="en-US"/>
        </w:rPr>
        <w:t xml:space="preserve"> o </w:t>
      </w:r>
      <w:r w:rsidRPr="004E0F02">
        <w:rPr>
          <w:rFonts w:eastAsia="Calibri" w:cs="Times New Roman"/>
          <w:szCs w:val="24"/>
          <w:lang w:eastAsia="en-US"/>
        </w:rPr>
        <w:t>ponowne wykorzystywanie. Jednocześnie jednak wprowadzona została zasada, zgodnie z</w:t>
      </w:r>
      <w:r w:rsidR="00DB45BD" w:rsidRPr="004E0F02">
        <w:rPr>
          <w:rFonts w:eastAsia="Calibri" w:cs="Times New Roman"/>
          <w:szCs w:val="24"/>
          <w:lang w:eastAsia="en-US"/>
        </w:rPr>
        <w:t> </w:t>
      </w:r>
      <w:r w:rsidRPr="004E0F02">
        <w:rPr>
          <w:rFonts w:eastAsia="Calibri" w:cs="Times New Roman"/>
          <w:szCs w:val="24"/>
          <w:lang w:eastAsia="en-US"/>
        </w:rPr>
        <w:t>którą</w:t>
      </w:r>
      <w:r w:rsidR="00E45B1D" w:rsidRPr="004E0F02">
        <w:rPr>
          <w:rFonts w:eastAsia="Calibri" w:cs="Times New Roman"/>
          <w:szCs w:val="24"/>
          <w:lang w:eastAsia="en-US"/>
        </w:rPr>
        <w:t xml:space="preserve"> w </w:t>
      </w:r>
      <w:r w:rsidRPr="004E0F02">
        <w:rPr>
          <w:rFonts w:eastAsia="Calibri" w:cs="Times New Roman"/>
          <w:szCs w:val="24"/>
          <w:lang w:eastAsia="en-US"/>
        </w:rPr>
        <w:t>przypadku kiedy podmioty wskazane</w:t>
      </w:r>
      <w:r w:rsidR="00E45B1D" w:rsidRPr="004E0F02">
        <w:rPr>
          <w:rFonts w:eastAsia="Calibri" w:cs="Times New Roman"/>
          <w:szCs w:val="24"/>
          <w:lang w:eastAsia="en-US"/>
        </w:rPr>
        <w:t xml:space="preserve"> w art. 3 pkt 5 </w:t>
      </w:r>
      <w:r w:rsidRPr="004E0F02">
        <w:rPr>
          <w:rFonts w:eastAsia="Calibri" w:cs="Times New Roman"/>
          <w:szCs w:val="24"/>
          <w:lang w:eastAsia="en-US"/>
        </w:rPr>
        <w:t>projektu ustawy (przedsiębiorstwa publiczne</w:t>
      </w:r>
      <w:r w:rsidR="00E45B1D" w:rsidRPr="004E0F02">
        <w:rPr>
          <w:rFonts w:eastAsia="Calibri" w:cs="Times New Roman"/>
          <w:szCs w:val="24"/>
          <w:lang w:eastAsia="en-US"/>
        </w:rPr>
        <w:t xml:space="preserve"> w </w:t>
      </w:r>
      <w:r w:rsidRPr="004E0F02">
        <w:rPr>
          <w:rFonts w:eastAsia="Calibri" w:cs="Times New Roman"/>
          <w:szCs w:val="24"/>
          <w:lang w:eastAsia="en-US"/>
        </w:rPr>
        <w:t>rozumieniu</w:t>
      </w:r>
      <w:r w:rsidR="00E45B1D" w:rsidRPr="004E0F02">
        <w:rPr>
          <w:rFonts w:eastAsia="Calibri" w:cs="Times New Roman"/>
          <w:szCs w:val="24"/>
          <w:lang w:eastAsia="en-US"/>
        </w:rPr>
        <w:t xml:space="preserve"> art. 2 pkt 3 </w:t>
      </w:r>
      <w:r w:rsidRPr="004E0F02">
        <w:rPr>
          <w:rFonts w:eastAsia="Calibri" w:cs="Times New Roman"/>
          <w:szCs w:val="24"/>
          <w:lang w:eastAsia="en-US"/>
        </w:rPr>
        <w:t>dyrektywy) będą udostępniać lub przekazywać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sposób dobrowolny – powinny czynić to</w:t>
      </w:r>
      <w:r w:rsidR="00DB45BD" w:rsidRPr="004E0F02">
        <w:rPr>
          <w:rFonts w:eastAsia="Calibri" w:cs="Times New Roman"/>
          <w:szCs w:val="24"/>
          <w:lang w:eastAsia="en-US"/>
        </w:rPr>
        <w:t> </w:t>
      </w:r>
      <w:r w:rsidRPr="004E0F02">
        <w:rPr>
          <w:rFonts w:eastAsia="Calibri" w:cs="Times New Roman"/>
          <w:szCs w:val="24"/>
          <w:lang w:eastAsia="en-US"/>
        </w:rPr>
        <w:t>w</w:t>
      </w:r>
      <w:r w:rsidR="00DB45BD" w:rsidRPr="004E0F02">
        <w:rPr>
          <w:rFonts w:eastAsia="Calibri" w:cs="Times New Roman"/>
          <w:szCs w:val="24"/>
          <w:lang w:eastAsia="en-US"/>
        </w:rPr>
        <w:t> </w:t>
      </w:r>
      <w:r w:rsidRPr="004E0F02">
        <w:rPr>
          <w:rFonts w:eastAsia="Calibri" w:cs="Times New Roman"/>
          <w:szCs w:val="24"/>
          <w:lang w:eastAsia="en-US"/>
        </w:rPr>
        <w:t>oparciu</w:t>
      </w:r>
      <w:r w:rsidR="00E45B1D" w:rsidRPr="004E0F02">
        <w:rPr>
          <w:rFonts w:eastAsia="Calibri" w:cs="Times New Roman"/>
          <w:szCs w:val="24"/>
          <w:lang w:eastAsia="en-US"/>
        </w:rPr>
        <w:t xml:space="preserve"> o </w:t>
      </w:r>
      <w:r w:rsidRPr="004E0F02">
        <w:rPr>
          <w:rFonts w:eastAsia="Calibri" w:cs="Times New Roman"/>
          <w:szCs w:val="24"/>
          <w:lang w:eastAsia="en-US"/>
        </w:rPr>
        <w:t xml:space="preserve">przepisy rozdziałów </w:t>
      </w:r>
      <w:r w:rsidR="00E45B1D" w:rsidRPr="004E0F02">
        <w:rPr>
          <w:rFonts w:eastAsia="Calibri" w:cs="Times New Roman"/>
          <w:szCs w:val="24"/>
          <w:lang w:eastAsia="en-US"/>
        </w:rPr>
        <w:t>2</w:t>
      </w:r>
      <w:r w:rsidR="00E45B1D" w:rsidRPr="004E0F02">
        <w:rPr>
          <w:rFonts w:eastAsia="Calibri" w:cs="Times New Roman"/>
          <w:szCs w:val="24"/>
          <w:lang w:eastAsia="en-US"/>
        </w:rPr>
        <w:noBreakHyphen/>
        <w:t>4 </w:t>
      </w:r>
      <w:r w:rsidRPr="004E0F02">
        <w:rPr>
          <w:rFonts w:eastAsia="Calibri" w:cs="Times New Roman"/>
          <w:szCs w:val="24"/>
          <w:lang w:eastAsia="en-US"/>
        </w:rPr>
        <w:t>ustawy.</w:t>
      </w:r>
    </w:p>
    <w:p w14:paraId="3FE4AC4A" w14:textId="3AE6EBDB" w:rsidR="00A42682" w:rsidRPr="004E0F02" w:rsidRDefault="00A42682" w:rsidP="00A42682">
      <w:pPr>
        <w:widowControl/>
        <w:spacing w:after="120" w:line="276" w:lineRule="auto"/>
        <w:jc w:val="both"/>
        <w:rPr>
          <w:rFonts w:eastAsia="Calibri" w:cs="Times New Roman"/>
          <w:b/>
          <w:szCs w:val="24"/>
          <w:lang w:eastAsia="en-US"/>
        </w:rPr>
      </w:pPr>
      <w:r w:rsidRPr="004E0F02">
        <w:rPr>
          <w:rFonts w:eastAsia="Calibri" w:cs="Times New Roman"/>
          <w:b/>
          <w:szCs w:val="24"/>
          <w:lang w:eastAsia="en-US"/>
        </w:rPr>
        <w:t>Rozdział 10. Zmiany</w:t>
      </w:r>
      <w:r w:rsidR="00E45B1D" w:rsidRPr="004E0F02">
        <w:rPr>
          <w:rFonts w:eastAsia="Calibri" w:cs="Times New Roman"/>
          <w:b/>
          <w:szCs w:val="24"/>
          <w:lang w:eastAsia="en-US"/>
        </w:rPr>
        <w:t xml:space="preserve"> w </w:t>
      </w:r>
      <w:r w:rsidRPr="004E0F02">
        <w:rPr>
          <w:rFonts w:eastAsia="Calibri" w:cs="Times New Roman"/>
          <w:b/>
          <w:szCs w:val="24"/>
          <w:lang w:eastAsia="en-US"/>
        </w:rPr>
        <w:t>przepisach obowiązujących.</w:t>
      </w:r>
    </w:p>
    <w:p w14:paraId="37426A38" w14:textId="0607BBB0" w:rsidR="00A42682" w:rsidRPr="004E0F02" w:rsidRDefault="00A42682" w:rsidP="00A977F5">
      <w:pPr>
        <w:widowControl/>
        <w:numPr>
          <w:ilvl w:val="0"/>
          <w:numId w:val="25"/>
        </w:numPr>
        <w:autoSpaceDE/>
        <w:autoSpaceDN/>
        <w:adjustRightInd/>
        <w:spacing w:after="120" w:line="276" w:lineRule="auto"/>
        <w:ind w:hanging="357"/>
        <w:contextualSpacing/>
        <w:jc w:val="both"/>
        <w:rPr>
          <w:rFonts w:eastAsia="Calibri" w:cs="Times New Roman"/>
          <w:szCs w:val="24"/>
          <w:lang w:eastAsia="en-US"/>
        </w:rPr>
      </w:pPr>
      <w:r w:rsidRPr="004E0F02">
        <w:rPr>
          <w:rFonts w:eastAsia="Calibri" w:cs="Times New Roman"/>
          <w:szCs w:val="24"/>
          <w:lang w:eastAsia="en-US"/>
        </w:rPr>
        <w:t>Projekt ustawy dokonuje nowelizacji ustawy</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dnia </w:t>
      </w:r>
      <w:r w:rsidR="00E45B1D" w:rsidRPr="004E0F02">
        <w:rPr>
          <w:rFonts w:eastAsia="Calibri" w:cs="Times New Roman"/>
          <w:szCs w:val="24"/>
          <w:lang w:eastAsia="en-US"/>
        </w:rPr>
        <w:t>6 </w:t>
      </w:r>
      <w:r w:rsidRPr="004E0F02">
        <w:rPr>
          <w:rFonts w:eastAsia="Calibri" w:cs="Times New Roman"/>
          <w:szCs w:val="24"/>
          <w:lang w:eastAsia="en-US"/>
        </w:rPr>
        <w:t>września 200</w:t>
      </w:r>
      <w:r w:rsidR="00E45B1D" w:rsidRPr="004E0F02">
        <w:rPr>
          <w:rFonts w:eastAsia="Calibri" w:cs="Times New Roman"/>
          <w:szCs w:val="24"/>
          <w:lang w:eastAsia="en-US"/>
        </w:rPr>
        <w:t>1 </w:t>
      </w:r>
      <w:r w:rsidRPr="004E0F02">
        <w:rPr>
          <w:rFonts w:eastAsia="Calibri" w:cs="Times New Roman"/>
          <w:szCs w:val="24"/>
          <w:lang w:eastAsia="en-US"/>
        </w:rPr>
        <w:t>r.</w:t>
      </w:r>
      <w:r w:rsidR="00E45B1D" w:rsidRPr="004E0F02">
        <w:rPr>
          <w:rFonts w:eastAsia="Calibri" w:cs="Times New Roman"/>
          <w:szCs w:val="24"/>
          <w:lang w:eastAsia="en-US"/>
        </w:rPr>
        <w:t xml:space="preserve"> o </w:t>
      </w:r>
      <w:r w:rsidRPr="004E0F02">
        <w:rPr>
          <w:rFonts w:eastAsia="Calibri" w:cs="Times New Roman"/>
          <w:szCs w:val="24"/>
          <w:lang w:eastAsia="en-US"/>
        </w:rPr>
        <w:t>dostępie do</w:t>
      </w:r>
      <w:r w:rsidR="00DB45BD" w:rsidRPr="004E0F02">
        <w:rPr>
          <w:rFonts w:eastAsia="Calibri" w:cs="Times New Roman"/>
          <w:szCs w:val="24"/>
          <w:lang w:eastAsia="en-US"/>
        </w:rPr>
        <w:t> </w:t>
      </w:r>
      <w:r w:rsidRPr="004E0F02">
        <w:rPr>
          <w:rFonts w:eastAsia="Calibri" w:cs="Times New Roman"/>
          <w:szCs w:val="24"/>
          <w:lang w:eastAsia="en-US"/>
        </w:rPr>
        <w:t>informacji publicznej</w:t>
      </w:r>
      <w:r w:rsidR="00E45B1D" w:rsidRPr="004E0F02">
        <w:rPr>
          <w:rFonts w:eastAsia="Calibri" w:cs="Times New Roman"/>
          <w:szCs w:val="24"/>
          <w:lang w:eastAsia="en-US"/>
        </w:rPr>
        <w:t xml:space="preserve"> w </w:t>
      </w:r>
      <w:r w:rsidR="00A977F5" w:rsidRPr="004E0F02">
        <w:rPr>
          <w:rFonts w:eastAsia="Calibri" w:cs="Times New Roman"/>
          <w:szCs w:val="24"/>
          <w:lang w:eastAsia="en-US"/>
        </w:rPr>
        <w:t xml:space="preserve">zakresie zmian </w:t>
      </w:r>
      <w:r w:rsidRPr="004E0F02">
        <w:rPr>
          <w:rFonts w:eastAsia="Calibri" w:cs="Times New Roman"/>
          <w:szCs w:val="24"/>
          <w:lang w:eastAsia="en-US"/>
        </w:rPr>
        <w:t>będących konsekwencją wyodrębnienia</w:t>
      </w:r>
      <w:r w:rsidR="00E45B1D" w:rsidRPr="004E0F02">
        <w:rPr>
          <w:rFonts w:eastAsia="Calibri" w:cs="Times New Roman"/>
          <w:szCs w:val="24"/>
          <w:lang w:eastAsia="en-US"/>
        </w:rPr>
        <w:t xml:space="preserve"> z </w:t>
      </w:r>
      <w:r w:rsidRPr="004E0F02">
        <w:rPr>
          <w:rFonts w:eastAsia="Calibri" w:cs="Times New Roman"/>
          <w:szCs w:val="24"/>
          <w:lang w:eastAsia="en-US"/>
        </w:rPr>
        <w:t>przedmiotowej ustawy regulacji dotyczących centralnego repozytorium informacji publicznej</w:t>
      </w:r>
      <w:r w:rsidR="00E45B1D" w:rsidRPr="004E0F02">
        <w:rPr>
          <w:rFonts w:eastAsia="Calibri" w:cs="Times New Roman"/>
          <w:szCs w:val="24"/>
          <w:lang w:eastAsia="en-US"/>
        </w:rPr>
        <w:t xml:space="preserve"> i </w:t>
      </w:r>
      <w:r w:rsidRPr="004E0F02">
        <w:rPr>
          <w:rFonts w:eastAsia="Calibri" w:cs="Times New Roman"/>
          <w:szCs w:val="24"/>
          <w:lang w:eastAsia="en-US"/>
        </w:rPr>
        <w:t>wprowadzenia w projekcie ustawy przepisów odwołujących się do portalu danych, tj.</w:t>
      </w:r>
      <w:r w:rsidR="00E45B1D" w:rsidRPr="004E0F02">
        <w:rPr>
          <w:rFonts w:eastAsia="Calibri" w:cs="Times New Roman"/>
          <w:szCs w:val="24"/>
          <w:lang w:eastAsia="en-US"/>
        </w:rPr>
        <w:t xml:space="preserve"> art. 1 ust. </w:t>
      </w:r>
      <w:r w:rsidRPr="004E0F02">
        <w:rPr>
          <w:rFonts w:eastAsia="Calibri" w:cs="Times New Roman"/>
          <w:szCs w:val="24"/>
          <w:lang w:eastAsia="en-US"/>
        </w:rPr>
        <w:t>2,</w:t>
      </w:r>
      <w:r w:rsidR="00E45B1D" w:rsidRPr="004E0F02">
        <w:rPr>
          <w:rFonts w:eastAsia="Calibri" w:cs="Times New Roman"/>
          <w:szCs w:val="24"/>
          <w:lang w:eastAsia="en-US"/>
        </w:rPr>
        <w:t xml:space="preserve"> art. 7 ust. 1 pkt </w:t>
      </w:r>
      <w:r w:rsidRPr="004E0F02">
        <w:rPr>
          <w:rFonts w:eastAsia="Calibri" w:cs="Times New Roman"/>
          <w:szCs w:val="24"/>
          <w:lang w:eastAsia="en-US"/>
        </w:rPr>
        <w:t>4,</w:t>
      </w:r>
      <w:r w:rsidR="00E45B1D" w:rsidRPr="004E0F02">
        <w:rPr>
          <w:rFonts w:eastAsia="Calibri" w:cs="Times New Roman"/>
          <w:szCs w:val="24"/>
          <w:lang w:eastAsia="en-US"/>
        </w:rPr>
        <w:t xml:space="preserve"> art. 9 ust. 1 pkt 3 oraz art. </w:t>
      </w:r>
      <w:r w:rsidRPr="004E0F02">
        <w:rPr>
          <w:rFonts w:eastAsia="Calibri" w:cs="Times New Roman"/>
          <w:szCs w:val="24"/>
          <w:lang w:eastAsia="en-US"/>
        </w:rPr>
        <w:t>1</w:t>
      </w:r>
      <w:r w:rsidR="00E45B1D" w:rsidRPr="004E0F02">
        <w:rPr>
          <w:rFonts w:eastAsia="Calibri" w:cs="Times New Roman"/>
          <w:szCs w:val="24"/>
          <w:lang w:eastAsia="en-US"/>
        </w:rPr>
        <w:t>0 ust. 1 oraz</w:t>
      </w:r>
      <w:r w:rsidRPr="004E0F02">
        <w:rPr>
          <w:rFonts w:eastAsia="Calibri" w:cs="Times New Roman"/>
          <w:szCs w:val="24"/>
          <w:lang w:eastAsia="en-US"/>
        </w:rPr>
        <w:t xml:space="preserve"> uchylenia</w:t>
      </w:r>
      <w:r w:rsidR="00E45B1D" w:rsidRPr="004E0F02">
        <w:rPr>
          <w:rFonts w:eastAsia="Calibri" w:cs="Times New Roman"/>
          <w:szCs w:val="24"/>
          <w:lang w:eastAsia="en-US"/>
        </w:rPr>
        <w:t xml:space="preserve"> art. </w:t>
      </w:r>
      <w:r w:rsidR="00A977F5" w:rsidRPr="004E0F02">
        <w:rPr>
          <w:rFonts w:eastAsia="Calibri" w:cs="Times New Roman"/>
          <w:szCs w:val="24"/>
          <w:lang w:eastAsia="en-US"/>
        </w:rPr>
        <w:t xml:space="preserve">1 ust. 3 oraz art. </w:t>
      </w:r>
      <w:r w:rsidRPr="004E0F02">
        <w:rPr>
          <w:rFonts w:eastAsia="Calibri" w:cs="Times New Roman"/>
          <w:szCs w:val="24"/>
          <w:lang w:eastAsia="en-US"/>
        </w:rPr>
        <w:t>9a – 9e,</w:t>
      </w:r>
    </w:p>
    <w:p w14:paraId="09F1A73C" w14:textId="20E15816" w:rsidR="00A42682" w:rsidRPr="004E0F02" w:rsidRDefault="00A42682" w:rsidP="004D2DA7">
      <w:pPr>
        <w:widowControl/>
        <w:numPr>
          <w:ilvl w:val="0"/>
          <w:numId w:val="2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Projekt dokonuje nowelizacji ustawy</w:t>
      </w:r>
      <w:r w:rsidR="00E45B1D" w:rsidRPr="004E0F02">
        <w:rPr>
          <w:rFonts w:eastAsia="Calibri" w:cs="Times New Roman"/>
          <w:szCs w:val="24"/>
          <w:lang w:eastAsia="en-US"/>
        </w:rPr>
        <w:t xml:space="preserve"> z </w:t>
      </w:r>
      <w:r w:rsidRPr="004E0F02">
        <w:rPr>
          <w:rFonts w:eastAsia="Calibri" w:cs="Times New Roman"/>
          <w:szCs w:val="24"/>
          <w:lang w:eastAsia="en-US"/>
        </w:rPr>
        <w:t>dnia 2</w:t>
      </w:r>
      <w:r w:rsidR="00E45B1D" w:rsidRPr="004E0F02">
        <w:rPr>
          <w:rFonts w:eastAsia="Calibri" w:cs="Times New Roman"/>
          <w:szCs w:val="24"/>
          <w:lang w:eastAsia="en-US"/>
        </w:rPr>
        <w:t>0 </w:t>
      </w:r>
      <w:r w:rsidRPr="004E0F02">
        <w:rPr>
          <w:rFonts w:eastAsia="Calibri" w:cs="Times New Roman"/>
          <w:szCs w:val="24"/>
          <w:lang w:eastAsia="en-US"/>
        </w:rPr>
        <w:t>sierpnia 199</w:t>
      </w:r>
      <w:r w:rsidR="00E45B1D" w:rsidRPr="004E0F02">
        <w:rPr>
          <w:rFonts w:eastAsia="Calibri" w:cs="Times New Roman"/>
          <w:szCs w:val="24"/>
          <w:lang w:eastAsia="en-US"/>
        </w:rPr>
        <w:t>7 </w:t>
      </w:r>
      <w:r w:rsidRPr="004E0F02">
        <w:rPr>
          <w:rFonts w:eastAsia="Calibri" w:cs="Times New Roman"/>
          <w:szCs w:val="24"/>
          <w:lang w:eastAsia="en-US"/>
        </w:rPr>
        <w:t>r.</w:t>
      </w:r>
      <w:r w:rsidR="00E45B1D" w:rsidRPr="004E0F02">
        <w:rPr>
          <w:rFonts w:eastAsia="Calibri" w:cs="Times New Roman"/>
          <w:szCs w:val="24"/>
          <w:lang w:eastAsia="en-US"/>
        </w:rPr>
        <w:t xml:space="preserve"> o </w:t>
      </w:r>
      <w:r w:rsidRPr="004E0F02">
        <w:rPr>
          <w:rFonts w:eastAsia="Calibri" w:cs="Times New Roman"/>
          <w:szCs w:val="24"/>
          <w:lang w:eastAsia="en-US"/>
        </w:rPr>
        <w:t>Krajowym Rejestrze Sądowym (</w:t>
      </w:r>
      <w:r w:rsidR="00E45B1D" w:rsidRPr="004E0F02">
        <w:rPr>
          <w:rFonts w:eastAsia="Calibri" w:cs="Times New Roman"/>
          <w:szCs w:val="24"/>
          <w:lang w:eastAsia="en-US"/>
        </w:rPr>
        <w:t>Dz. U. z </w:t>
      </w:r>
      <w:r w:rsidRPr="004E0F02">
        <w:rPr>
          <w:rFonts w:eastAsia="Calibri" w:cs="Times New Roman"/>
          <w:szCs w:val="24"/>
          <w:lang w:eastAsia="en-US"/>
        </w:rPr>
        <w:t>201</w:t>
      </w:r>
      <w:r w:rsidR="00E45B1D" w:rsidRPr="004E0F02">
        <w:rPr>
          <w:rFonts w:eastAsia="Calibri" w:cs="Times New Roman"/>
          <w:szCs w:val="24"/>
          <w:lang w:eastAsia="en-US"/>
        </w:rPr>
        <w:t>9 </w:t>
      </w:r>
      <w:r w:rsidRPr="004E0F02">
        <w:rPr>
          <w:rFonts w:eastAsia="Calibri" w:cs="Times New Roman"/>
          <w:szCs w:val="24"/>
          <w:lang w:eastAsia="en-US"/>
        </w:rPr>
        <w:t>r.</w:t>
      </w:r>
      <w:r w:rsidR="00E45B1D" w:rsidRPr="004E0F02">
        <w:rPr>
          <w:rFonts w:eastAsia="Calibri" w:cs="Times New Roman"/>
          <w:szCs w:val="24"/>
          <w:lang w:eastAsia="en-US"/>
        </w:rPr>
        <w:t xml:space="preserve"> poz. </w:t>
      </w:r>
      <w:r w:rsidRPr="004E0F02">
        <w:rPr>
          <w:rFonts w:eastAsia="Calibri" w:cs="Times New Roman"/>
          <w:szCs w:val="24"/>
          <w:lang w:eastAsia="en-US"/>
        </w:rPr>
        <w:t>150</w:t>
      </w:r>
      <w:r w:rsidR="00E45B1D" w:rsidRPr="004E0F02">
        <w:rPr>
          <w:rFonts w:eastAsia="Calibri" w:cs="Times New Roman"/>
          <w:szCs w:val="24"/>
          <w:lang w:eastAsia="en-US"/>
        </w:rPr>
        <w:t>0</w:t>
      </w:r>
      <w:r w:rsidR="00A977F5" w:rsidRPr="004E0F02">
        <w:rPr>
          <w:rFonts w:eastAsia="Calibri" w:cs="Times New Roman"/>
          <w:szCs w:val="24"/>
          <w:lang w:eastAsia="en-US"/>
        </w:rPr>
        <w:t>, z późn. zm.</w:t>
      </w:r>
      <w:r w:rsidRPr="004E0F02">
        <w:rPr>
          <w:rFonts w:eastAsia="Calibri" w:cs="Times New Roman"/>
          <w:szCs w:val="24"/>
          <w:lang w:eastAsia="en-US"/>
        </w:rPr>
        <w:t>)</w:t>
      </w:r>
      <w:r w:rsidR="00E45B1D" w:rsidRPr="004E0F02">
        <w:rPr>
          <w:rFonts w:eastAsia="Calibri" w:cs="Times New Roman"/>
          <w:szCs w:val="24"/>
          <w:lang w:eastAsia="en-US"/>
        </w:rPr>
        <w:t xml:space="preserve"> w </w:t>
      </w:r>
      <w:r w:rsidRPr="004E0F02">
        <w:rPr>
          <w:rFonts w:eastAsia="Calibri" w:cs="Times New Roman"/>
          <w:szCs w:val="24"/>
          <w:lang w:eastAsia="en-US"/>
        </w:rPr>
        <w:t>zakresie zmian dotyczących wprowadzenia w przedmiotowej ustawie przepisów regulujących udostępnianie i</w:t>
      </w:r>
      <w:r w:rsidR="00C26C3A" w:rsidRPr="004E0F02">
        <w:rPr>
          <w:rFonts w:eastAsia="Calibri" w:cs="Times New Roman"/>
          <w:szCs w:val="24"/>
          <w:lang w:eastAsia="en-US"/>
        </w:rPr>
        <w:t> </w:t>
      </w:r>
      <w:r w:rsidRPr="004E0F02">
        <w:rPr>
          <w:rFonts w:eastAsia="Calibri" w:cs="Times New Roman"/>
          <w:szCs w:val="24"/>
          <w:lang w:eastAsia="en-US"/>
        </w:rPr>
        <w:t>przekazywanie do ponownego wykorzystywania danych zgromadzanych w</w:t>
      </w:r>
      <w:r w:rsidR="00C26C3A" w:rsidRPr="004E0F02">
        <w:rPr>
          <w:rFonts w:eastAsia="Calibri" w:cs="Times New Roman"/>
          <w:szCs w:val="24"/>
          <w:lang w:eastAsia="en-US"/>
        </w:rPr>
        <w:t> </w:t>
      </w:r>
      <w:r w:rsidRPr="004E0F02">
        <w:rPr>
          <w:rFonts w:eastAsia="Calibri" w:cs="Times New Roman"/>
          <w:szCs w:val="24"/>
          <w:lang w:eastAsia="en-US"/>
        </w:rPr>
        <w:t>Krajowym Rejestrze Sądowym, tj. dodanie po</w:t>
      </w:r>
      <w:r w:rsidR="00E45B1D" w:rsidRPr="004E0F02">
        <w:rPr>
          <w:rFonts w:eastAsia="Calibri" w:cs="Times New Roman"/>
          <w:szCs w:val="24"/>
          <w:lang w:eastAsia="en-US"/>
        </w:rPr>
        <w:t xml:space="preserve"> art. </w:t>
      </w:r>
      <w:r w:rsidRPr="004E0F02">
        <w:rPr>
          <w:rFonts w:eastAsia="Calibri" w:cs="Times New Roman"/>
          <w:szCs w:val="24"/>
          <w:lang w:eastAsia="en-US"/>
        </w:rPr>
        <w:t>4a przedmiotowej ustawy</w:t>
      </w:r>
      <w:r w:rsidR="00E45B1D" w:rsidRPr="004E0F02">
        <w:rPr>
          <w:rFonts w:eastAsia="Calibri" w:cs="Times New Roman"/>
          <w:szCs w:val="24"/>
          <w:lang w:eastAsia="en-US"/>
        </w:rPr>
        <w:t xml:space="preserve"> art. </w:t>
      </w:r>
      <w:r w:rsidRPr="004E0F02">
        <w:rPr>
          <w:rFonts w:eastAsia="Calibri" w:cs="Times New Roman"/>
          <w:szCs w:val="24"/>
          <w:lang w:eastAsia="en-US"/>
        </w:rPr>
        <w:t>4b;</w:t>
      </w:r>
    </w:p>
    <w:p w14:paraId="7AD2F486" w14:textId="0381D889" w:rsidR="005E5AE6" w:rsidRPr="004E0F02" w:rsidRDefault="005E5AE6" w:rsidP="005E5AE6">
      <w:pPr>
        <w:widowControl/>
        <w:numPr>
          <w:ilvl w:val="0"/>
          <w:numId w:val="25"/>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 xml:space="preserve">Projekt dokonuje nowelizacji ustawy dnia 29 czerwca 1995 r. o statystyce publicznej (Dz. U. z 2020 r. poz. 443z późn. zm.). </w:t>
      </w:r>
    </w:p>
    <w:p w14:paraId="275CACE1" w14:textId="63A8F4AC" w:rsidR="005E5AE6" w:rsidRPr="004E0F02" w:rsidRDefault="005E5AE6" w:rsidP="005E5AE6">
      <w:pPr>
        <w:widowControl/>
        <w:autoSpaceDE/>
        <w:autoSpaceDN/>
        <w:adjustRightInd/>
        <w:spacing w:after="120" w:line="276" w:lineRule="auto"/>
        <w:ind w:left="720"/>
        <w:contextualSpacing/>
        <w:jc w:val="both"/>
        <w:rPr>
          <w:rFonts w:eastAsia="Calibri" w:cs="Times New Roman"/>
          <w:szCs w:val="24"/>
          <w:lang w:eastAsia="en-US"/>
        </w:rPr>
      </w:pPr>
      <w:r w:rsidRPr="004E0F02">
        <w:rPr>
          <w:rFonts w:eastAsia="Calibri" w:cs="Times New Roman"/>
          <w:szCs w:val="24"/>
          <w:lang w:eastAsia="en-US"/>
        </w:rPr>
        <w:t>Dodanie pkt 16 w art. 2.</w:t>
      </w:r>
    </w:p>
    <w:p w14:paraId="65E00A41" w14:textId="7EC5F139" w:rsidR="005E5AE6" w:rsidRPr="004E0F02" w:rsidRDefault="005E5AE6" w:rsidP="001D6349">
      <w:pPr>
        <w:widowControl/>
        <w:autoSpaceDE/>
        <w:autoSpaceDN/>
        <w:adjustRightInd/>
        <w:spacing w:after="120" w:line="276" w:lineRule="auto"/>
        <w:ind w:left="720"/>
        <w:contextualSpacing/>
        <w:jc w:val="both"/>
        <w:rPr>
          <w:rFonts w:eastAsia="Calibri" w:cs="Times New Roman"/>
          <w:szCs w:val="24"/>
          <w:lang w:eastAsia="en-US"/>
        </w:rPr>
      </w:pPr>
      <w:r w:rsidRPr="004E0F02">
        <w:rPr>
          <w:rFonts w:eastAsia="Calibri" w:cs="Times New Roman"/>
          <w:szCs w:val="24"/>
          <w:lang w:eastAsia="en-US"/>
        </w:rPr>
        <w:t>Potrzeba dodanie pkt 16 w art. 2 ustawy o statystyce publicznej wynika z wykorzystywania tego pojęcia w dalszych przepisach tej ustawy</w:t>
      </w:r>
    </w:p>
    <w:p w14:paraId="3D583D80" w14:textId="4B179B2D" w:rsidR="005E5AE6" w:rsidRPr="004E0F02" w:rsidRDefault="001D6349" w:rsidP="005E5AE6">
      <w:pPr>
        <w:widowControl/>
        <w:autoSpaceDE/>
        <w:autoSpaceDN/>
        <w:adjustRightInd/>
        <w:spacing w:after="120" w:line="276" w:lineRule="auto"/>
        <w:ind w:left="720"/>
        <w:contextualSpacing/>
        <w:jc w:val="both"/>
        <w:rPr>
          <w:rFonts w:eastAsia="Calibri" w:cs="Times New Roman"/>
          <w:szCs w:val="24"/>
          <w:lang w:eastAsia="en-US"/>
        </w:rPr>
      </w:pPr>
      <w:r w:rsidRPr="004E0F02">
        <w:rPr>
          <w:rFonts w:eastAsia="Calibri" w:cs="Times New Roman"/>
          <w:szCs w:val="24"/>
          <w:lang w:eastAsia="en-US"/>
        </w:rPr>
        <w:t>Dodanie w art. 13 po ust. 1 ust. 1a</w:t>
      </w:r>
      <w:r w:rsidR="005E5AE6" w:rsidRPr="004E0F02">
        <w:rPr>
          <w:rFonts w:eastAsia="Calibri" w:cs="Times New Roman"/>
          <w:szCs w:val="24"/>
          <w:lang w:eastAsia="en-US"/>
        </w:rPr>
        <w:t>.</w:t>
      </w:r>
    </w:p>
    <w:p w14:paraId="589670BD" w14:textId="6BC33E1B" w:rsidR="001D6349" w:rsidRPr="004E0F02" w:rsidRDefault="001D6349" w:rsidP="001D6349">
      <w:pPr>
        <w:widowControl/>
        <w:autoSpaceDE/>
        <w:autoSpaceDN/>
        <w:adjustRightInd/>
        <w:spacing w:after="120" w:line="276" w:lineRule="auto"/>
        <w:ind w:left="720"/>
        <w:contextualSpacing/>
        <w:jc w:val="both"/>
        <w:rPr>
          <w:rFonts w:eastAsia="Calibri" w:cs="Times New Roman"/>
          <w:szCs w:val="24"/>
          <w:lang w:eastAsia="en-US"/>
        </w:rPr>
      </w:pPr>
      <w:r w:rsidRPr="004E0F02">
        <w:rPr>
          <w:rFonts w:eastAsia="Calibri" w:cs="Times New Roman"/>
          <w:szCs w:val="24"/>
          <w:lang w:eastAsia="en-US"/>
        </w:rPr>
        <w:t xml:space="preserve">zmiana w art. 13 ustawy o statystyce publicznej ma umożliwić szybkie udostępnianie  danych przez Prezesa GUS  w szczególnych sytuacjach (np. pandemii, powodzi czy innych nieprzewidywalnych zdarzeń) co jest możliwe tylko w przypadku posiadania dostępu do danych źródłowych. W takich sytuacjach Prezes GUS będzie uprawniony do występowania do organów i podmiotów wskazanych w art. 13 ust. 1 ustawy o statystce publicznej (tj. organów administracji publicznej, Zakładu Ubezpieczeń Społecznych, Narodowego Funduszu Zdrowia, a także innych państwowych lub samorządowych osób prawnych, organów rejestrowych oraz innych podmiotów </w:t>
      </w:r>
      <w:r w:rsidRPr="004E0F02">
        <w:rPr>
          <w:rFonts w:eastAsia="Calibri" w:cs="Times New Roman"/>
          <w:szCs w:val="24"/>
          <w:lang w:eastAsia="en-US"/>
        </w:rPr>
        <w:lastRenderedPageBreak/>
        <w:t>prowadzących rejestry urzędowe lub systemy informacyjne administracji publicznej) o przekazanie lub udostępnienie służbom statystyki publicznej zgromadzonych danych jednostkowych identyfikowalnych, nieidentyfikowalnych lub zestawień statystycznych. W związku z koniecznością pomiarów gospodarczych i społecznych konsekwencji szczególnych zagrożeń, np. epidemii COVID-19, oraz dostarczania również w takich sytuacjach oficjalnych danych, istnieje potrzeba wprowadzenia dodatkowego trybu przekazywania danych do GUS, tj. bez określenia w programie badań statystycznych statystyki publicznej danych, o których mowa w art. 13 ust. 1. Przekazane lub udostępnione służbom statystyki publicznej dane jednostkowe identyfikowalne podlegają ochronie określonej w art. 10 ustawy o statystyce publicznej. Proponowana zmiana umożliwi pozyskanie aktualnych informacji pozwalających na zbadanie na przykład zjawiska i wpływu subwencji pomocowych na stan finansowy i ekonomiczny podmiotów gospodarczych, pracodawców i pracowników w związku z zapobieganiem skutkom epidemii COVID-19 w Polsce.</w:t>
      </w:r>
    </w:p>
    <w:p w14:paraId="16A967D0" w14:textId="7FFCF54B" w:rsidR="00A42682" w:rsidRPr="004E0F02" w:rsidRDefault="00A42682" w:rsidP="004D2DA7">
      <w:pPr>
        <w:widowControl/>
        <w:numPr>
          <w:ilvl w:val="0"/>
          <w:numId w:val="25"/>
        </w:numPr>
        <w:autoSpaceDE/>
        <w:autoSpaceDN/>
        <w:adjustRightInd/>
        <w:spacing w:after="120" w:line="276" w:lineRule="auto"/>
        <w:ind w:hanging="357"/>
        <w:contextualSpacing/>
        <w:jc w:val="both"/>
        <w:rPr>
          <w:rFonts w:eastAsia="Calibri" w:cs="Times New Roman"/>
          <w:szCs w:val="24"/>
          <w:lang w:eastAsia="en-US"/>
        </w:rPr>
      </w:pPr>
      <w:r w:rsidRPr="004E0F02">
        <w:rPr>
          <w:rFonts w:eastAsia="Calibri" w:cs="Times New Roman"/>
          <w:szCs w:val="24"/>
          <w:lang w:eastAsia="en-US"/>
        </w:rPr>
        <w:t xml:space="preserve">Projekt ustawy dokonuje nowelizacji szeregu ustaw wprowadzając zmiany będące konsekwencją </w:t>
      </w:r>
      <w:r w:rsidR="00A977F5" w:rsidRPr="004E0F02">
        <w:rPr>
          <w:rFonts w:eastAsia="Calibri" w:cs="Times New Roman"/>
          <w:szCs w:val="24"/>
          <w:lang w:eastAsia="en-US"/>
        </w:rPr>
        <w:t xml:space="preserve">uchylenia </w:t>
      </w:r>
      <w:r w:rsidRPr="004E0F02">
        <w:rPr>
          <w:rFonts w:eastAsia="Calibri" w:cs="Times New Roman"/>
          <w:szCs w:val="24"/>
          <w:lang w:eastAsia="en-US"/>
        </w:rPr>
        <w:t>ustawy</w:t>
      </w:r>
      <w:r w:rsidR="00E45B1D" w:rsidRPr="004E0F02">
        <w:rPr>
          <w:rFonts w:eastAsia="Calibri" w:cs="Times New Roman"/>
          <w:szCs w:val="24"/>
          <w:lang w:eastAsia="en-US"/>
        </w:rPr>
        <w:t xml:space="preserve"> z </w:t>
      </w:r>
      <w:r w:rsidRPr="004E0F02">
        <w:rPr>
          <w:rFonts w:eastAsia="Calibri" w:cs="Times New Roman"/>
          <w:szCs w:val="24"/>
          <w:lang w:eastAsia="en-US"/>
        </w:rPr>
        <w:t>201</w:t>
      </w:r>
      <w:r w:rsidR="00E45B1D" w:rsidRPr="004E0F02">
        <w:rPr>
          <w:rFonts w:eastAsia="Calibri" w:cs="Times New Roman"/>
          <w:szCs w:val="24"/>
          <w:lang w:eastAsia="en-US"/>
        </w:rPr>
        <w:t>6 </w:t>
      </w:r>
      <w:r w:rsidRPr="004E0F02">
        <w:rPr>
          <w:rFonts w:eastAsia="Calibri" w:cs="Times New Roman"/>
          <w:szCs w:val="24"/>
          <w:lang w:eastAsia="en-US"/>
        </w:rPr>
        <w:t>r.;</w:t>
      </w:r>
    </w:p>
    <w:p w14:paraId="368360FF" w14:textId="55E2320C" w:rsidR="00A42682" w:rsidRPr="004E0F02" w:rsidRDefault="00A42682" w:rsidP="00B131AC">
      <w:pPr>
        <w:widowControl/>
        <w:spacing w:before="240" w:after="120" w:line="276" w:lineRule="auto"/>
        <w:jc w:val="both"/>
        <w:rPr>
          <w:rFonts w:eastAsia="Calibri" w:cs="Times New Roman"/>
          <w:b/>
          <w:szCs w:val="24"/>
          <w:lang w:eastAsia="en-US"/>
        </w:rPr>
      </w:pPr>
      <w:r w:rsidRPr="004E0F02">
        <w:rPr>
          <w:rFonts w:eastAsia="Calibri" w:cs="Times New Roman"/>
          <w:b/>
          <w:szCs w:val="24"/>
          <w:lang w:eastAsia="en-US"/>
        </w:rPr>
        <w:t>Rozdział 11. Przepisy przejściowe</w:t>
      </w:r>
      <w:r w:rsidR="00E45B1D" w:rsidRPr="004E0F02">
        <w:rPr>
          <w:rFonts w:eastAsia="Calibri" w:cs="Times New Roman"/>
          <w:b/>
          <w:szCs w:val="24"/>
          <w:lang w:eastAsia="en-US"/>
        </w:rPr>
        <w:t xml:space="preserve"> i </w:t>
      </w:r>
      <w:r w:rsidRPr="004E0F02">
        <w:rPr>
          <w:rFonts w:eastAsia="Calibri" w:cs="Times New Roman"/>
          <w:b/>
          <w:szCs w:val="24"/>
          <w:lang w:eastAsia="en-US"/>
        </w:rPr>
        <w:t>końcowe.</w:t>
      </w:r>
    </w:p>
    <w:p w14:paraId="692CF844" w14:textId="4324BF77"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Przepis</w:t>
      </w:r>
      <w:r w:rsidR="00E45B1D" w:rsidRPr="004E0F02">
        <w:rPr>
          <w:rFonts w:eastAsia="Calibri" w:cs="Times New Roman"/>
          <w:szCs w:val="24"/>
          <w:lang w:eastAsia="en-US"/>
        </w:rPr>
        <w:t xml:space="preserve"> art. </w:t>
      </w:r>
      <w:r w:rsidR="00B770DC" w:rsidRPr="004E0F02">
        <w:rPr>
          <w:rFonts w:eastAsia="Calibri" w:cs="Times New Roman"/>
          <w:szCs w:val="24"/>
          <w:lang w:eastAsia="en-US"/>
        </w:rPr>
        <w:t xml:space="preserve">60 </w:t>
      </w:r>
      <w:r w:rsidR="00E45B1D" w:rsidRPr="004E0F02">
        <w:rPr>
          <w:rFonts w:eastAsia="Calibri" w:cs="Times New Roman"/>
          <w:szCs w:val="24"/>
          <w:lang w:eastAsia="en-US"/>
        </w:rPr>
        <w:t>ust. 1 </w:t>
      </w:r>
      <w:r w:rsidRPr="004E0F02">
        <w:rPr>
          <w:rFonts w:eastAsia="Calibri" w:cs="Times New Roman"/>
          <w:szCs w:val="24"/>
          <w:lang w:eastAsia="en-US"/>
        </w:rPr>
        <w:t>projektu ustawy przewiduje stosowanie przepisów dotychczasowych do</w:t>
      </w:r>
      <w:r w:rsidR="00EE1CA6" w:rsidRPr="004E0F02">
        <w:rPr>
          <w:rFonts w:eastAsia="Calibri" w:cs="Times New Roman"/>
          <w:szCs w:val="24"/>
          <w:lang w:eastAsia="en-US"/>
        </w:rPr>
        <w:t> </w:t>
      </w:r>
      <w:r w:rsidRPr="004E0F02">
        <w:rPr>
          <w:rFonts w:eastAsia="Calibri" w:cs="Times New Roman"/>
          <w:szCs w:val="24"/>
          <w:lang w:eastAsia="en-US"/>
        </w:rPr>
        <w:t>spraw z zakresu udostępniania informacji sektora publicznego</w:t>
      </w:r>
      <w:r w:rsidR="00E45B1D" w:rsidRPr="004E0F02">
        <w:rPr>
          <w:rFonts w:eastAsia="Calibri" w:cs="Times New Roman"/>
          <w:szCs w:val="24"/>
          <w:lang w:eastAsia="en-US"/>
        </w:rPr>
        <w:t xml:space="preserve"> w </w:t>
      </w:r>
      <w:r w:rsidRPr="004E0F02">
        <w:rPr>
          <w:rFonts w:eastAsia="Calibri" w:cs="Times New Roman"/>
          <w:szCs w:val="24"/>
          <w:lang w:eastAsia="en-US"/>
        </w:rPr>
        <w:t>celu ponownego wykorzystywania, wszczętych</w:t>
      </w:r>
      <w:r w:rsidR="00E45B1D" w:rsidRPr="004E0F02">
        <w:rPr>
          <w:rFonts w:eastAsia="Calibri" w:cs="Times New Roman"/>
          <w:szCs w:val="24"/>
          <w:lang w:eastAsia="en-US"/>
        </w:rPr>
        <w:t xml:space="preserve"> i </w:t>
      </w:r>
      <w:r w:rsidRPr="004E0F02">
        <w:rPr>
          <w:rFonts w:eastAsia="Calibri" w:cs="Times New Roman"/>
          <w:szCs w:val="24"/>
          <w:lang w:eastAsia="en-US"/>
        </w:rPr>
        <w:t>niezakończonych</w:t>
      </w:r>
      <w:r w:rsidR="00E45B1D" w:rsidRPr="004E0F02">
        <w:rPr>
          <w:rFonts w:eastAsia="Calibri" w:cs="Times New Roman"/>
          <w:szCs w:val="24"/>
          <w:lang w:eastAsia="en-US"/>
        </w:rPr>
        <w:t xml:space="preserve"> w </w:t>
      </w:r>
      <w:r w:rsidRPr="004E0F02">
        <w:rPr>
          <w:rFonts w:eastAsia="Calibri" w:cs="Times New Roman"/>
          <w:szCs w:val="24"/>
          <w:lang w:eastAsia="en-US"/>
        </w:rPr>
        <w:t>dniu wejścia</w:t>
      </w:r>
      <w:r w:rsidR="00E45B1D" w:rsidRPr="004E0F02">
        <w:rPr>
          <w:rFonts w:eastAsia="Calibri" w:cs="Times New Roman"/>
          <w:szCs w:val="24"/>
          <w:lang w:eastAsia="en-US"/>
        </w:rPr>
        <w:t xml:space="preserve"> w </w:t>
      </w:r>
      <w:r w:rsidRPr="004E0F02">
        <w:rPr>
          <w:rFonts w:eastAsia="Calibri" w:cs="Times New Roman"/>
          <w:szCs w:val="24"/>
          <w:lang w:eastAsia="en-US"/>
        </w:rPr>
        <w:t>życie ustawy ostatecznym albo prawomocnym rozstrzygnięciem.</w:t>
      </w:r>
    </w:p>
    <w:p w14:paraId="7D3D3C8A" w14:textId="1AA157D8"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w:t>
      </w:r>
      <w:r w:rsidR="00E45B1D" w:rsidRPr="004E0F02">
        <w:rPr>
          <w:rFonts w:eastAsia="Calibri" w:cs="Times New Roman"/>
          <w:szCs w:val="24"/>
          <w:lang w:eastAsia="en-US"/>
        </w:rPr>
        <w:t xml:space="preserve"> z art. </w:t>
      </w:r>
      <w:r w:rsidR="00B770DC" w:rsidRPr="004E0F02">
        <w:rPr>
          <w:rFonts w:eastAsia="Calibri" w:cs="Times New Roman"/>
          <w:szCs w:val="24"/>
          <w:lang w:eastAsia="en-US"/>
        </w:rPr>
        <w:t xml:space="preserve">60 </w:t>
      </w:r>
      <w:r w:rsidR="00E45B1D" w:rsidRPr="004E0F02">
        <w:rPr>
          <w:rFonts w:eastAsia="Calibri" w:cs="Times New Roman"/>
          <w:szCs w:val="24"/>
          <w:lang w:eastAsia="en-US"/>
        </w:rPr>
        <w:t>ust. 2 </w:t>
      </w:r>
      <w:r w:rsidRPr="004E0F02">
        <w:rPr>
          <w:rFonts w:eastAsia="Calibri" w:cs="Times New Roman"/>
          <w:szCs w:val="24"/>
          <w:lang w:eastAsia="en-US"/>
        </w:rPr>
        <w:t>projektu ustawy postanowienia umów zawartych przed dniem wejścia</w:t>
      </w:r>
      <w:r w:rsidR="00E45B1D" w:rsidRPr="004E0F02">
        <w:rPr>
          <w:rFonts w:eastAsia="Calibri" w:cs="Times New Roman"/>
          <w:szCs w:val="24"/>
          <w:lang w:eastAsia="en-US"/>
        </w:rPr>
        <w:t xml:space="preserve"> w </w:t>
      </w:r>
      <w:r w:rsidRPr="004E0F02">
        <w:rPr>
          <w:rFonts w:eastAsia="Calibri" w:cs="Times New Roman"/>
          <w:szCs w:val="24"/>
          <w:lang w:eastAsia="en-US"/>
        </w:rPr>
        <w:t>życie niniejszej ustawy, niezgodne</w:t>
      </w:r>
      <w:r w:rsidR="00E45B1D" w:rsidRPr="004E0F02">
        <w:rPr>
          <w:rFonts w:eastAsia="Calibri" w:cs="Times New Roman"/>
          <w:szCs w:val="24"/>
          <w:lang w:eastAsia="en-US"/>
        </w:rPr>
        <w:t xml:space="preserve"> z art. 9 ust. </w:t>
      </w:r>
      <w:r w:rsidRPr="004E0F02">
        <w:rPr>
          <w:rFonts w:eastAsia="Calibri" w:cs="Times New Roman"/>
          <w:szCs w:val="24"/>
          <w:lang w:eastAsia="en-US"/>
        </w:rPr>
        <w:t>2, wygasają wraz</w:t>
      </w:r>
      <w:r w:rsidR="00E45B1D" w:rsidRPr="004E0F02">
        <w:rPr>
          <w:rFonts w:eastAsia="Calibri" w:cs="Times New Roman"/>
          <w:szCs w:val="24"/>
          <w:lang w:eastAsia="en-US"/>
        </w:rPr>
        <w:t xml:space="preserve"> z </w:t>
      </w:r>
      <w:r w:rsidRPr="004E0F02">
        <w:rPr>
          <w:rFonts w:eastAsia="Calibri" w:cs="Times New Roman"/>
          <w:szCs w:val="24"/>
          <w:lang w:eastAsia="en-US"/>
        </w:rPr>
        <w:t>końcem okresu ich obowiązywania, nie później jednak niż</w:t>
      </w:r>
      <w:r w:rsidR="00E45B1D" w:rsidRPr="004E0F02">
        <w:rPr>
          <w:rFonts w:eastAsia="Calibri" w:cs="Times New Roman"/>
          <w:szCs w:val="24"/>
          <w:lang w:eastAsia="en-US"/>
        </w:rPr>
        <w:t xml:space="preserve"> w </w:t>
      </w:r>
      <w:r w:rsidRPr="004E0F02">
        <w:rPr>
          <w:rFonts w:eastAsia="Calibri" w:cs="Times New Roman"/>
          <w:szCs w:val="24"/>
          <w:lang w:eastAsia="en-US"/>
        </w:rPr>
        <w:t>dniu 1</w:t>
      </w:r>
      <w:r w:rsidR="00E45B1D" w:rsidRPr="004E0F02">
        <w:rPr>
          <w:rFonts w:eastAsia="Calibri" w:cs="Times New Roman"/>
          <w:szCs w:val="24"/>
          <w:lang w:eastAsia="en-US"/>
        </w:rPr>
        <w:t>8 </w:t>
      </w:r>
      <w:r w:rsidRPr="004E0F02">
        <w:rPr>
          <w:rFonts w:eastAsia="Calibri" w:cs="Times New Roman"/>
          <w:szCs w:val="24"/>
          <w:lang w:eastAsia="en-US"/>
        </w:rPr>
        <w:t>lipca 204</w:t>
      </w:r>
      <w:r w:rsidR="00E45B1D" w:rsidRPr="004E0F02">
        <w:rPr>
          <w:rFonts w:eastAsia="Calibri" w:cs="Times New Roman"/>
          <w:szCs w:val="24"/>
          <w:lang w:eastAsia="en-US"/>
        </w:rPr>
        <w:t>3 </w:t>
      </w:r>
      <w:r w:rsidRPr="004E0F02">
        <w:rPr>
          <w:rFonts w:eastAsia="Calibri" w:cs="Times New Roman"/>
          <w:szCs w:val="24"/>
          <w:lang w:eastAsia="en-US"/>
        </w:rPr>
        <w:t>r. Przepis ten wdraża postanowienie</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2 ust. 5 </w:t>
      </w:r>
      <w:r w:rsidRPr="004E0F02">
        <w:rPr>
          <w:rFonts w:eastAsia="Calibri" w:cs="Times New Roman"/>
          <w:szCs w:val="24"/>
          <w:lang w:eastAsia="en-US"/>
        </w:rPr>
        <w:t>dyrektywy 2019/1024/UE, zgodnie</w:t>
      </w:r>
      <w:r w:rsidR="00E45B1D" w:rsidRPr="004E0F02">
        <w:rPr>
          <w:rFonts w:eastAsia="Calibri" w:cs="Times New Roman"/>
          <w:szCs w:val="24"/>
          <w:lang w:eastAsia="en-US"/>
        </w:rPr>
        <w:t xml:space="preserve"> z </w:t>
      </w:r>
      <w:r w:rsidRPr="004E0F02">
        <w:rPr>
          <w:rFonts w:eastAsia="Calibri" w:cs="Times New Roman"/>
          <w:szCs w:val="24"/>
          <w:lang w:eastAsia="en-US"/>
        </w:rPr>
        <w:t>którym istniejące</w:t>
      </w:r>
      <w:r w:rsidR="00E45B1D" w:rsidRPr="004E0F02">
        <w:rPr>
          <w:rFonts w:eastAsia="Calibri" w:cs="Times New Roman"/>
          <w:szCs w:val="24"/>
          <w:lang w:eastAsia="en-US"/>
        </w:rPr>
        <w:t xml:space="preserve"> w </w:t>
      </w:r>
      <w:r w:rsidRPr="004E0F02">
        <w:rPr>
          <w:rFonts w:eastAsia="Calibri" w:cs="Times New Roman"/>
          <w:szCs w:val="24"/>
          <w:lang w:eastAsia="en-US"/>
        </w:rPr>
        <w:t>dniu 17</w:t>
      </w:r>
      <w:r w:rsidR="00EE1CA6" w:rsidRPr="004E0F02">
        <w:rPr>
          <w:rFonts w:eastAsia="Calibri" w:cs="Times New Roman"/>
          <w:szCs w:val="24"/>
          <w:lang w:eastAsia="en-US"/>
        </w:rPr>
        <w:t> </w:t>
      </w:r>
      <w:r w:rsidRPr="004E0F02">
        <w:rPr>
          <w:rFonts w:eastAsia="Calibri" w:cs="Times New Roman"/>
          <w:szCs w:val="24"/>
          <w:lang w:eastAsia="en-US"/>
        </w:rPr>
        <w:t>lipca 201</w:t>
      </w:r>
      <w:r w:rsidR="00E45B1D" w:rsidRPr="004E0F02">
        <w:rPr>
          <w:rFonts w:eastAsia="Calibri" w:cs="Times New Roman"/>
          <w:szCs w:val="24"/>
          <w:lang w:eastAsia="en-US"/>
        </w:rPr>
        <w:t>3 </w:t>
      </w:r>
      <w:r w:rsidRPr="004E0F02">
        <w:rPr>
          <w:rFonts w:eastAsia="Calibri" w:cs="Times New Roman"/>
          <w:szCs w:val="24"/>
          <w:lang w:eastAsia="en-US"/>
        </w:rPr>
        <w:t>r. uzgodnienia dotyczące wyłączności, które nie kwalifikują się jako wyjątki określone</w:t>
      </w:r>
      <w:r w:rsidR="00E45B1D" w:rsidRPr="004E0F02">
        <w:rPr>
          <w:rFonts w:eastAsia="Calibri" w:cs="Times New Roman"/>
          <w:szCs w:val="24"/>
          <w:lang w:eastAsia="en-US"/>
        </w:rPr>
        <w:t xml:space="preserve"> w ust. 2 i 3 </w:t>
      </w:r>
      <w:r w:rsidRPr="004E0F02">
        <w:rPr>
          <w:rFonts w:eastAsia="Calibri" w:cs="Times New Roman"/>
          <w:szCs w:val="24"/>
          <w:lang w:eastAsia="en-US"/>
        </w:rPr>
        <w:t>dyrektywy,</w:t>
      </w:r>
      <w:r w:rsidR="00E45B1D" w:rsidRPr="004E0F02">
        <w:rPr>
          <w:rFonts w:eastAsia="Calibri" w:cs="Times New Roman"/>
          <w:szCs w:val="24"/>
          <w:lang w:eastAsia="en-US"/>
        </w:rPr>
        <w:t xml:space="preserve"> a </w:t>
      </w:r>
      <w:r w:rsidRPr="004E0F02">
        <w:rPr>
          <w:rFonts w:eastAsia="Calibri" w:cs="Times New Roman"/>
          <w:szCs w:val="24"/>
          <w:lang w:eastAsia="en-US"/>
        </w:rPr>
        <w:t>do których przystąpiły organy sektora publicznego, wygasają wraz</w:t>
      </w:r>
      <w:r w:rsidR="00E45B1D" w:rsidRPr="004E0F02">
        <w:rPr>
          <w:rFonts w:eastAsia="Calibri" w:cs="Times New Roman"/>
          <w:szCs w:val="24"/>
          <w:lang w:eastAsia="en-US"/>
        </w:rPr>
        <w:t xml:space="preserve"> z </w:t>
      </w:r>
      <w:r w:rsidRPr="004E0F02">
        <w:rPr>
          <w:rFonts w:eastAsia="Calibri" w:cs="Times New Roman"/>
          <w:szCs w:val="24"/>
          <w:lang w:eastAsia="en-US"/>
        </w:rPr>
        <w:t>końcem obowiązywania stosownej umowy,</w:t>
      </w:r>
      <w:r w:rsidR="00E45B1D" w:rsidRPr="004E0F02">
        <w:rPr>
          <w:rFonts w:eastAsia="Calibri" w:cs="Times New Roman"/>
          <w:szCs w:val="24"/>
          <w:lang w:eastAsia="en-US"/>
        </w:rPr>
        <w:t xml:space="preserve"> a w </w:t>
      </w:r>
      <w:r w:rsidRPr="004E0F02">
        <w:rPr>
          <w:rFonts w:eastAsia="Calibri" w:cs="Times New Roman"/>
          <w:szCs w:val="24"/>
          <w:lang w:eastAsia="en-US"/>
        </w:rPr>
        <w:t>każdym razie najpóźniej w</w:t>
      </w:r>
      <w:r w:rsidR="00EE1CA6" w:rsidRPr="004E0F02">
        <w:rPr>
          <w:rFonts w:eastAsia="Calibri" w:cs="Times New Roman"/>
          <w:szCs w:val="24"/>
          <w:lang w:eastAsia="en-US"/>
        </w:rPr>
        <w:t> </w:t>
      </w:r>
      <w:r w:rsidRPr="004E0F02">
        <w:rPr>
          <w:rFonts w:eastAsia="Calibri" w:cs="Times New Roman"/>
          <w:szCs w:val="24"/>
          <w:lang w:eastAsia="en-US"/>
        </w:rPr>
        <w:t>dniu 1</w:t>
      </w:r>
      <w:r w:rsidR="00E45B1D" w:rsidRPr="004E0F02">
        <w:rPr>
          <w:rFonts w:eastAsia="Calibri" w:cs="Times New Roman"/>
          <w:szCs w:val="24"/>
          <w:lang w:eastAsia="en-US"/>
        </w:rPr>
        <w:t>8 </w:t>
      </w:r>
      <w:r w:rsidRPr="004E0F02">
        <w:rPr>
          <w:rFonts w:eastAsia="Calibri" w:cs="Times New Roman"/>
          <w:szCs w:val="24"/>
          <w:lang w:eastAsia="en-US"/>
        </w:rPr>
        <w:t>lipca 204</w:t>
      </w:r>
      <w:r w:rsidR="00E45B1D" w:rsidRPr="004E0F02">
        <w:rPr>
          <w:rFonts w:eastAsia="Calibri" w:cs="Times New Roman"/>
          <w:szCs w:val="24"/>
          <w:lang w:eastAsia="en-US"/>
        </w:rPr>
        <w:t>3 </w:t>
      </w:r>
      <w:r w:rsidRPr="004E0F02">
        <w:rPr>
          <w:rFonts w:eastAsia="Calibri" w:cs="Times New Roman"/>
          <w:szCs w:val="24"/>
          <w:lang w:eastAsia="en-US"/>
        </w:rPr>
        <w:t>r.</w:t>
      </w:r>
    </w:p>
    <w:p w14:paraId="57391B6A" w14:textId="5EB8CF20" w:rsidR="00B770DC" w:rsidRPr="004E0F02" w:rsidRDefault="00B770DC"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Na podstawie art. 61 projektu minister właściwy do spraw nauki i szkolnictwa wyższego</w:t>
      </w:r>
      <w:r w:rsidR="00C74BD9" w:rsidRPr="004E0F02">
        <w:rPr>
          <w:rFonts w:eastAsia="Calibri" w:cs="Times New Roman"/>
          <w:szCs w:val="24"/>
          <w:lang w:eastAsia="en-US"/>
        </w:rPr>
        <w:t xml:space="preserve"> został</w:t>
      </w:r>
      <w:r w:rsidRPr="004E0F02">
        <w:rPr>
          <w:rFonts w:eastAsia="Calibri" w:cs="Times New Roman"/>
          <w:szCs w:val="24"/>
          <w:lang w:eastAsia="en-US"/>
        </w:rPr>
        <w:t xml:space="preserve"> zobowiązany do  opracowania Polityki otwartego dostępu do danych badawczych w terminie 18 miesięcy od dnia wejścia w życie projektowanej ustawy. </w:t>
      </w:r>
    </w:p>
    <w:p w14:paraId="3148734B" w14:textId="6EFCB2D1"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Zgodnie</w:t>
      </w:r>
      <w:r w:rsidR="00E45B1D" w:rsidRPr="004E0F02">
        <w:rPr>
          <w:rFonts w:eastAsia="Calibri" w:cs="Times New Roman"/>
          <w:szCs w:val="24"/>
          <w:lang w:eastAsia="en-US"/>
        </w:rPr>
        <w:t xml:space="preserve"> z art. </w:t>
      </w:r>
      <w:r w:rsidR="00B770DC" w:rsidRPr="004E0F02">
        <w:rPr>
          <w:rFonts w:eastAsia="Calibri" w:cs="Times New Roman"/>
          <w:szCs w:val="24"/>
          <w:lang w:eastAsia="en-US"/>
        </w:rPr>
        <w:t xml:space="preserve">62 </w:t>
      </w:r>
      <w:r w:rsidR="00E45B1D" w:rsidRPr="004E0F02">
        <w:rPr>
          <w:rFonts w:eastAsia="Calibri" w:cs="Times New Roman"/>
          <w:szCs w:val="24"/>
          <w:lang w:eastAsia="en-US"/>
        </w:rPr>
        <w:t>ust. 1 </w:t>
      </w:r>
      <w:r w:rsidRPr="004E0F02">
        <w:rPr>
          <w:rFonts w:eastAsia="Calibri" w:cs="Times New Roman"/>
          <w:szCs w:val="24"/>
          <w:lang w:eastAsia="en-US"/>
        </w:rPr>
        <w:t>ustawy dotychczasowe przepisy wykonawcze wydane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9b</w:t>
      </w:r>
      <w:r w:rsidR="00E45B1D" w:rsidRPr="004E0F02">
        <w:rPr>
          <w:rFonts w:eastAsia="Calibri" w:cs="Times New Roman"/>
          <w:szCs w:val="24"/>
          <w:lang w:eastAsia="en-US"/>
        </w:rPr>
        <w:t xml:space="preserve"> ust. 6 </w:t>
      </w:r>
      <w:r w:rsidRPr="004E0F02">
        <w:rPr>
          <w:rFonts w:eastAsia="Calibri" w:cs="Times New Roman"/>
          <w:szCs w:val="24"/>
          <w:lang w:eastAsia="en-US"/>
        </w:rPr>
        <w:t>ustawy</w:t>
      </w:r>
      <w:r w:rsidR="00E45B1D" w:rsidRPr="004E0F02">
        <w:rPr>
          <w:rFonts w:eastAsia="Calibri" w:cs="Times New Roman"/>
          <w:szCs w:val="24"/>
          <w:lang w:eastAsia="en-US"/>
        </w:rPr>
        <w:t xml:space="preserve"> o </w:t>
      </w:r>
      <w:r w:rsidRPr="004E0F02">
        <w:rPr>
          <w:rFonts w:eastAsia="Calibri" w:cs="Times New Roman"/>
          <w:szCs w:val="24"/>
          <w:lang w:eastAsia="en-US"/>
        </w:rPr>
        <w:t>dostępie do informacji publicznej oraz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1</w:t>
      </w:r>
      <w:r w:rsidR="00E45B1D" w:rsidRPr="004E0F02">
        <w:rPr>
          <w:rFonts w:eastAsia="Calibri" w:cs="Times New Roman"/>
          <w:szCs w:val="24"/>
          <w:lang w:eastAsia="en-US"/>
        </w:rPr>
        <w:t>8 ust. 3 </w:t>
      </w:r>
      <w:r w:rsidRPr="004E0F02">
        <w:rPr>
          <w:rFonts w:eastAsia="Calibri" w:cs="Times New Roman"/>
          <w:szCs w:val="24"/>
          <w:lang w:eastAsia="en-US"/>
        </w:rPr>
        <w:t>ustawy</w:t>
      </w:r>
      <w:r w:rsidR="00E45B1D" w:rsidRPr="004E0F02">
        <w:rPr>
          <w:rFonts w:eastAsia="Calibri" w:cs="Times New Roman"/>
          <w:szCs w:val="24"/>
          <w:lang w:eastAsia="en-US"/>
        </w:rPr>
        <w:t xml:space="preserve"> o </w:t>
      </w:r>
      <w:r w:rsidRPr="004E0F02">
        <w:rPr>
          <w:rFonts w:eastAsia="Calibri" w:cs="Times New Roman"/>
          <w:szCs w:val="24"/>
          <w:lang w:eastAsia="en-US"/>
        </w:rPr>
        <w:t>ponownym wykorzystywaniu informacji sektora publicznego (ustawy</w:t>
      </w:r>
      <w:r w:rsidR="00E45B1D" w:rsidRPr="004E0F02">
        <w:rPr>
          <w:rFonts w:eastAsia="Calibri" w:cs="Times New Roman"/>
          <w:szCs w:val="24"/>
          <w:lang w:eastAsia="en-US"/>
        </w:rPr>
        <w:t xml:space="preserve"> z </w:t>
      </w:r>
      <w:r w:rsidRPr="004E0F02">
        <w:rPr>
          <w:rFonts w:eastAsia="Calibri" w:cs="Times New Roman"/>
          <w:szCs w:val="24"/>
          <w:lang w:eastAsia="en-US"/>
        </w:rPr>
        <w:t>201</w:t>
      </w:r>
      <w:r w:rsidR="00E45B1D" w:rsidRPr="004E0F02">
        <w:rPr>
          <w:rFonts w:eastAsia="Calibri" w:cs="Times New Roman"/>
          <w:szCs w:val="24"/>
          <w:lang w:eastAsia="en-US"/>
        </w:rPr>
        <w:t>6 </w:t>
      </w:r>
      <w:r w:rsidRPr="004E0F02">
        <w:rPr>
          <w:rFonts w:eastAsia="Calibri" w:cs="Times New Roman"/>
          <w:szCs w:val="24"/>
          <w:lang w:eastAsia="en-US"/>
        </w:rPr>
        <w:t>r.), tj.:</w:t>
      </w:r>
    </w:p>
    <w:p w14:paraId="437BD325" w14:textId="40FFD330" w:rsidR="00A42682" w:rsidRPr="004E0F02" w:rsidRDefault="00A42682" w:rsidP="004D2DA7">
      <w:pPr>
        <w:widowControl/>
        <w:numPr>
          <w:ilvl w:val="0"/>
          <w:numId w:val="27"/>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t>rozporządzenie Rady Ministrów</w:t>
      </w:r>
      <w:r w:rsidR="00E45B1D" w:rsidRPr="004E0F02">
        <w:rPr>
          <w:rFonts w:eastAsia="Calibri" w:cs="Times New Roman"/>
          <w:szCs w:val="24"/>
          <w:lang w:eastAsia="en-US"/>
        </w:rPr>
        <w:t xml:space="preserve"> z </w:t>
      </w:r>
      <w:r w:rsidRPr="004E0F02">
        <w:rPr>
          <w:rFonts w:eastAsia="Calibri" w:cs="Times New Roman"/>
          <w:szCs w:val="24"/>
          <w:lang w:eastAsia="en-US"/>
        </w:rPr>
        <w:t>dnia 1</w:t>
      </w:r>
      <w:r w:rsidR="00E45B1D" w:rsidRPr="004E0F02">
        <w:rPr>
          <w:rFonts w:eastAsia="Calibri" w:cs="Times New Roman"/>
          <w:szCs w:val="24"/>
          <w:lang w:eastAsia="en-US"/>
        </w:rPr>
        <w:t>2 </w:t>
      </w:r>
      <w:r w:rsidRPr="004E0F02">
        <w:rPr>
          <w:rFonts w:eastAsia="Calibri" w:cs="Times New Roman"/>
          <w:szCs w:val="24"/>
          <w:lang w:eastAsia="en-US"/>
        </w:rPr>
        <w:t>marca 201</w:t>
      </w:r>
      <w:r w:rsidR="00E45B1D" w:rsidRPr="004E0F02">
        <w:rPr>
          <w:rFonts w:eastAsia="Calibri" w:cs="Times New Roman"/>
          <w:szCs w:val="24"/>
          <w:lang w:eastAsia="en-US"/>
        </w:rPr>
        <w:t>4 </w:t>
      </w:r>
      <w:r w:rsidRPr="004E0F02">
        <w:rPr>
          <w:rFonts w:eastAsia="Calibri" w:cs="Times New Roman"/>
          <w:szCs w:val="24"/>
          <w:lang w:eastAsia="en-US"/>
        </w:rPr>
        <w:t>r.</w:t>
      </w:r>
      <w:r w:rsidR="00E45B1D" w:rsidRPr="004E0F02">
        <w:rPr>
          <w:rFonts w:eastAsia="Calibri" w:cs="Times New Roman"/>
          <w:szCs w:val="24"/>
          <w:lang w:eastAsia="en-US"/>
        </w:rPr>
        <w:t xml:space="preserve"> w </w:t>
      </w:r>
      <w:r w:rsidRPr="004E0F02">
        <w:rPr>
          <w:rFonts w:eastAsia="Calibri" w:cs="Times New Roman"/>
          <w:szCs w:val="24"/>
          <w:lang w:eastAsia="en-US"/>
        </w:rPr>
        <w:t>sprawie Centralnego Repozytorium Informacji Publicznej</w:t>
      </w:r>
      <w:r w:rsidRPr="004E0F02">
        <w:rPr>
          <w:rFonts w:eastAsia="Calibri" w:cs="Times New Roman"/>
          <w:szCs w:val="24"/>
          <w:vertAlign w:val="superscript"/>
          <w:lang w:eastAsia="en-US"/>
        </w:rPr>
        <w:footnoteReference w:id="41"/>
      </w:r>
      <w:r w:rsidRPr="004E0F02">
        <w:rPr>
          <w:rFonts w:eastAsia="Times New Roman" w:cs="Times New Roman"/>
          <w:szCs w:val="24"/>
          <w:vertAlign w:val="superscript"/>
        </w:rPr>
        <w:t>)</w:t>
      </w:r>
      <w:r w:rsidRPr="004E0F02">
        <w:rPr>
          <w:rFonts w:eastAsia="Calibri" w:cs="Times New Roman"/>
          <w:szCs w:val="24"/>
          <w:lang w:eastAsia="en-US"/>
        </w:rPr>
        <w:t xml:space="preserve"> ,</w:t>
      </w:r>
    </w:p>
    <w:p w14:paraId="0060168D" w14:textId="1E50BFB0" w:rsidR="00A42682" w:rsidRPr="004E0F02" w:rsidRDefault="00A42682" w:rsidP="004D2DA7">
      <w:pPr>
        <w:widowControl/>
        <w:numPr>
          <w:ilvl w:val="0"/>
          <w:numId w:val="27"/>
        </w:numPr>
        <w:autoSpaceDE/>
        <w:autoSpaceDN/>
        <w:adjustRightInd/>
        <w:spacing w:after="120" w:line="276" w:lineRule="auto"/>
        <w:contextualSpacing/>
        <w:jc w:val="both"/>
        <w:rPr>
          <w:rFonts w:eastAsia="Calibri" w:cs="Times New Roman"/>
          <w:szCs w:val="24"/>
          <w:lang w:eastAsia="en-US"/>
        </w:rPr>
      </w:pPr>
      <w:r w:rsidRPr="004E0F02">
        <w:rPr>
          <w:rFonts w:eastAsia="Calibri" w:cs="Times New Roman"/>
          <w:szCs w:val="24"/>
          <w:lang w:eastAsia="en-US"/>
        </w:rPr>
        <w:lastRenderedPageBreak/>
        <w:t>rozporządzenie Ministra Kultury</w:t>
      </w:r>
      <w:r w:rsidR="00E45B1D" w:rsidRPr="004E0F02">
        <w:rPr>
          <w:rFonts w:eastAsia="Calibri" w:cs="Times New Roman"/>
          <w:szCs w:val="24"/>
          <w:lang w:eastAsia="en-US"/>
        </w:rPr>
        <w:t xml:space="preserve"> i </w:t>
      </w:r>
      <w:r w:rsidRPr="004E0F02">
        <w:rPr>
          <w:rFonts w:eastAsia="Calibri" w:cs="Times New Roman"/>
          <w:szCs w:val="24"/>
          <w:lang w:eastAsia="en-US"/>
        </w:rPr>
        <w:t>Dziedzictwa Narodowego</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dnia </w:t>
      </w:r>
      <w:r w:rsidR="00E45B1D" w:rsidRPr="004E0F02">
        <w:rPr>
          <w:rFonts w:eastAsia="Calibri" w:cs="Times New Roman"/>
          <w:szCs w:val="24"/>
          <w:lang w:eastAsia="en-US"/>
        </w:rPr>
        <w:t>5 </w:t>
      </w:r>
      <w:r w:rsidRPr="004E0F02">
        <w:rPr>
          <w:rFonts w:eastAsia="Calibri" w:cs="Times New Roman"/>
          <w:szCs w:val="24"/>
          <w:lang w:eastAsia="en-US"/>
        </w:rPr>
        <w:t>lipca 201</w:t>
      </w:r>
      <w:r w:rsidR="00E45B1D" w:rsidRPr="004E0F02">
        <w:rPr>
          <w:rFonts w:eastAsia="Calibri" w:cs="Times New Roman"/>
          <w:szCs w:val="24"/>
          <w:lang w:eastAsia="en-US"/>
        </w:rPr>
        <w:t>6 </w:t>
      </w:r>
      <w:r w:rsidRPr="004E0F02">
        <w:rPr>
          <w:rFonts w:eastAsia="Calibri" w:cs="Times New Roman"/>
          <w:szCs w:val="24"/>
          <w:lang w:eastAsia="en-US"/>
        </w:rPr>
        <w:t>r. w</w:t>
      </w:r>
      <w:r w:rsidR="00EE1CA6" w:rsidRPr="004E0F02">
        <w:rPr>
          <w:rFonts w:eastAsia="Calibri" w:cs="Times New Roman"/>
          <w:szCs w:val="24"/>
          <w:lang w:eastAsia="en-US"/>
        </w:rPr>
        <w:t> </w:t>
      </w:r>
      <w:r w:rsidRPr="004E0F02">
        <w:rPr>
          <w:rFonts w:eastAsia="Calibri" w:cs="Times New Roman"/>
          <w:szCs w:val="24"/>
          <w:lang w:eastAsia="en-US"/>
        </w:rPr>
        <w:t>sprawie maksymalnych stawek opłat za ponowne wykorzystywanie informacji sektora publicznego nakładanych przez muzea państwowe</w:t>
      </w:r>
      <w:r w:rsidR="00E45B1D" w:rsidRPr="004E0F02">
        <w:rPr>
          <w:rFonts w:eastAsia="Calibri" w:cs="Times New Roman"/>
          <w:szCs w:val="24"/>
          <w:lang w:eastAsia="en-US"/>
        </w:rPr>
        <w:t xml:space="preserve"> i </w:t>
      </w:r>
      <w:r w:rsidRPr="004E0F02">
        <w:rPr>
          <w:rFonts w:eastAsia="Calibri" w:cs="Times New Roman"/>
          <w:szCs w:val="24"/>
          <w:lang w:eastAsia="en-US"/>
        </w:rPr>
        <w:t>muzea samorządowe</w:t>
      </w:r>
      <w:r w:rsidRPr="004E0F02">
        <w:rPr>
          <w:rFonts w:eastAsia="Calibri" w:cs="Times New Roman"/>
          <w:szCs w:val="24"/>
          <w:vertAlign w:val="superscript"/>
          <w:lang w:eastAsia="en-US"/>
        </w:rPr>
        <w:footnoteReference w:id="42"/>
      </w:r>
      <w:r w:rsidRPr="004E0F02">
        <w:rPr>
          <w:rFonts w:eastAsia="Times New Roman" w:cs="Times New Roman"/>
          <w:szCs w:val="24"/>
          <w:vertAlign w:val="superscript"/>
        </w:rPr>
        <w:t>)</w:t>
      </w:r>
    </w:p>
    <w:p w14:paraId="2D4117A1" w14:textId="202EFC4A" w:rsidR="00D22452" w:rsidRPr="004E0F02" w:rsidRDefault="00A42682" w:rsidP="00B131AC">
      <w:pPr>
        <w:widowControl/>
        <w:spacing w:before="240" w:after="120" w:line="276" w:lineRule="auto"/>
        <w:jc w:val="both"/>
        <w:rPr>
          <w:rFonts w:eastAsia="Calibri" w:cs="Times New Roman"/>
          <w:szCs w:val="24"/>
          <w:lang w:eastAsia="en-US"/>
        </w:rPr>
      </w:pPr>
      <w:r w:rsidRPr="004E0F02">
        <w:rPr>
          <w:rFonts w:eastAsia="Calibri" w:cs="Times New Roman"/>
          <w:szCs w:val="24"/>
          <w:lang w:eastAsia="en-US"/>
        </w:rPr>
        <w:t>w brzmieniu dotychczasowym, zachowują moc do dnia wejścia</w:t>
      </w:r>
      <w:r w:rsidR="00E45B1D" w:rsidRPr="004E0F02">
        <w:rPr>
          <w:rFonts w:eastAsia="Calibri" w:cs="Times New Roman"/>
          <w:szCs w:val="24"/>
          <w:lang w:eastAsia="en-US"/>
        </w:rPr>
        <w:t xml:space="preserve"> w </w:t>
      </w:r>
      <w:r w:rsidRPr="004E0F02">
        <w:rPr>
          <w:rFonts w:eastAsia="Calibri" w:cs="Times New Roman"/>
          <w:szCs w:val="24"/>
          <w:lang w:eastAsia="en-US"/>
        </w:rPr>
        <w:t>życie przepisów wykonawczych wydanych odpowiednio na podstawie</w:t>
      </w:r>
      <w:r w:rsidR="00E45B1D" w:rsidRPr="004E0F02">
        <w:rPr>
          <w:rFonts w:eastAsia="Calibri" w:cs="Times New Roman"/>
          <w:szCs w:val="24"/>
          <w:lang w:eastAsia="en-US"/>
        </w:rPr>
        <w:t xml:space="preserve"> art. </w:t>
      </w:r>
      <w:r w:rsidR="00B770DC" w:rsidRPr="004E0F02">
        <w:rPr>
          <w:rFonts w:eastAsia="Calibri" w:cs="Times New Roman"/>
          <w:szCs w:val="24"/>
          <w:lang w:eastAsia="en-US"/>
        </w:rPr>
        <w:t xml:space="preserve">37 </w:t>
      </w:r>
      <w:r w:rsidR="00E45B1D" w:rsidRPr="004E0F02">
        <w:rPr>
          <w:rFonts w:eastAsia="Calibri" w:cs="Times New Roman"/>
          <w:szCs w:val="24"/>
          <w:lang w:eastAsia="en-US"/>
        </w:rPr>
        <w:t>ust. 6 oraz art. </w:t>
      </w:r>
      <w:r w:rsidRPr="004E0F02">
        <w:rPr>
          <w:rFonts w:eastAsia="Calibri" w:cs="Times New Roman"/>
          <w:szCs w:val="24"/>
          <w:lang w:eastAsia="en-US"/>
        </w:rPr>
        <w:t>1</w:t>
      </w:r>
      <w:r w:rsidR="00E45B1D" w:rsidRPr="004E0F02">
        <w:rPr>
          <w:rFonts w:eastAsia="Calibri" w:cs="Times New Roman"/>
          <w:szCs w:val="24"/>
          <w:lang w:eastAsia="en-US"/>
        </w:rPr>
        <w:t>9 ust. 3 </w:t>
      </w:r>
      <w:r w:rsidRPr="004E0F02">
        <w:rPr>
          <w:rFonts w:eastAsia="Calibri" w:cs="Times New Roman"/>
          <w:szCs w:val="24"/>
          <w:lang w:eastAsia="en-US"/>
        </w:rPr>
        <w:t>projektu ustawy, jednak nie dłużej niż przez okres 1</w:t>
      </w:r>
      <w:r w:rsidR="00E45B1D" w:rsidRPr="004E0F02">
        <w:rPr>
          <w:rFonts w:eastAsia="Calibri" w:cs="Times New Roman"/>
          <w:szCs w:val="24"/>
          <w:lang w:eastAsia="en-US"/>
        </w:rPr>
        <w:t>2 </w:t>
      </w:r>
      <w:r w:rsidRPr="004E0F02">
        <w:rPr>
          <w:rFonts w:eastAsia="Calibri" w:cs="Times New Roman"/>
          <w:szCs w:val="24"/>
          <w:lang w:eastAsia="en-US"/>
        </w:rPr>
        <w:t>miesięcy od dnia wejścia</w:t>
      </w:r>
      <w:r w:rsidR="00E45B1D" w:rsidRPr="004E0F02">
        <w:rPr>
          <w:rFonts w:eastAsia="Calibri" w:cs="Times New Roman"/>
          <w:szCs w:val="24"/>
          <w:lang w:eastAsia="en-US"/>
        </w:rPr>
        <w:t xml:space="preserve"> w </w:t>
      </w:r>
      <w:r w:rsidRPr="004E0F02">
        <w:rPr>
          <w:rFonts w:eastAsia="Calibri" w:cs="Times New Roman"/>
          <w:szCs w:val="24"/>
          <w:lang w:eastAsia="en-US"/>
        </w:rPr>
        <w:t>życie ustawy.</w:t>
      </w:r>
    </w:p>
    <w:p w14:paraId="1FB6046E" w14:textId="07029B83"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 xml:space="preserve">Program </w:t>
      </w:r>
      <w:r w:rsidR="00D22452" w:rsidRPr="004E0F02">
        <w:rPr>
          <w:rFonts w:eastAsia="Calibri" w:cs="Times New Roman"/>
          <w:szCs w:val="24"/>
          <w:lang w:eastAsia="en-US"/>
        </w:rPr>
        <w:t>otwierania danych na lata 2021-2027</w:t>
      </w:r>
      <w:r w:rsidRPr="004E0F02">
        <w:rPr>
          <w:rFonts w:eastAsia="Calibri" w:cs="Times New Roman"/>
          <w:szCs w:val="24"/>
          <w:lang w:eastAsia="en-US"/>
        </w:rPr>
        <w:t xml:space="preserve">, który ma zostać przyjęty </w:t>
      </w:r>
      <w:r w:rsidR="00E45B1D" w:rsidRPr="004E0F02">
        <w:rPr>
          <w:rFonts w:eastAsia="Calibri" w:cs="Times New Roman"/>
          <w:szCs w:val="24"/>
          <w:lang w:eastAsia="en-US"/>
        </w:rPr>
        <w:t>w </w:t>
      </w:r>
      <w:r w:rsidRPr="004E0F02">
        <w:rPr>
          <w:rFonts w:eastAsia="Calibri" w:cs="Times New Roman"/>
          <w:szCs w:val="24"/>
          <w:lang w:eastAsia="en-US"/>
        </w:rPr>
        <w:t>drodze uchwały Rady Ministrów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9e ustawy</w:t>
      </w:r>
      <w:r w:rsidR="00E45B1D" w:rsidRPr="004E0F02">
        <w:rPr>
          <w:rFonts w:eastAsia="Calibri" w:cs="Times New Roman"/>
          <w:szCs w:val="24"/>
          <w:lang w:eastAsia="en-US"/>
        </w:rPr>
        <w:t xml:space="preserve"> o </w:t>
      </w:r>
      <w:r w:rsidRPr="004E0F02">
        <w:rPr>
          <w:rFonts w:eastAsia="Calibri" w:cs="Times New Roman"/>
          <w:szCs w:val="24"/>
          <w:lang w:eastAsia="en-US"/>
        </w:rPr>
        <w:t xml:space="preserve">odstępie do informacji publicznej stanie się Programem </w:t>
      </w:r>
      <w:r w:rsidR="00D22452" w:rsidRPr="004E0F02">
        <w:rPr>
          <w:rFonts w:eastAsia="Calibri" w:cs="Times New Roman"/>
          <w:szCs w:val="24"/>
          <w:lang w:eastAsia="en-US"/>
        </w:rPr>
        <w:t>otwierania danych</w:t>
      </w:r>
      <w:r w:rsidRPr="004E0F02">
        <w:rPr>
          <w:rFonts w:eastAsia="Calibri" w:cs="Times New Roman"/>
          <w:szCs w:val="24"/>
          <w:lang w:eastAsia="en-US"/>
        </w:rPr>
        <w:t>,</w:t>
      </w:r>
      <w:r w:rsidR="00E45B1D" w:rsidRPr="004E0F02">
        <w:rPr>
          <w:rFonts w:eastAsia="Calibri" w:cs="Times New Roman"/>
          <w:szCs w:val="24"/>
          <w:lang w:eastAsia="en-US"/>
        </w:rPr>
        <w:t xml:space="preserve"> o </w:t>
      </w:r>
      <w:r w:rsidRPr="004E0F02">
        <w:rPr>
          <w:rFonts w:eastAsia="Calibri" w:cs="Times New Roman"/>
          <w:szCs w:val="24"/>
          <w:lang w:eastAsia="en-US"/>
        </w:rPr>
        <w:t>którym mowa</w:t>
      </w:r>
      <w:r w:rsidR="00E45B1D" w:rsidRPr="004E0F02">
        <w:rPr>
          <w:rFonts w:eastAsia="Calibri" w:cs="Times New Roman"/>
          <w:szCs w:val="24"/>
          <w:lang w:eastAsia="en-US"/>
        </w:rPr>
        <w:t xml:space="preserve"> w art. </w:t>
      </w:r>
      <w:r w:rsidR="00D22452" w:rsidRPr="004E0F02">
        <w:rPr>
          <w:rFonts w:eastAsia="Calibri" w:cs="Times New Roman"/>
          <w:szCs w:val="24"/>
          <w:lang w:eastAsia="en-US"/>
        </w:rPr>
        <w:t>31 </w:t>
      </w:r>
      <w:r w:rsidRPr="004E0F02">
        <w:rPr>
          <w:rFonts w:eastAsia="Calibri" w:cs="Times New Roman"/>
          <w:szCs w:val="24"/>
          <w:lang w:eastAsia="en-US"/>
        </w:rPr>
        <w:t>projektu ustawy.</w:t>
      </w:r>
    </w:p>
    <w:p w14:paraId="24D4B329" w14:textId="637644B4"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Ponadto, dotychczas funkcjonujące centralne repozytorium prowadzone przez ministra właściwego do spraw informatyzacji na podstawie</w:t>
      </w:r>
      <w:r w:rsidR="00E45B1D" w:rsidRPr="004E0F02">
        <w:rPr>
          <w:rFonts w:eastAsia="Calibri" w:cs="Times New Roman"/>
          <w:szCs w:val="24"/>
          <w:lang w:eastAsia="en-US"/>
        </w:rPr>
        <w:t xml:space="preserve"> art. </w:t>
      </w:r>
      <w:r w:rsidRPr="004E0F02">
        <w:rPr>
          <w:rFonts w:eastAsia="Calibri" w:cs="Times New Roman"/>
          <w:szCs w:val="24"/>
          <w:lang w:eastAsia="en-US"/>
        </w:rPr>
        <w:t>9b ustawy</w:t>
      </w:r>
      <w:r w:rsidR="00E45B1D" w:rsidRPr="004E0F02">
        <w:rPr>
          <w:rFonts w:eastAsia="Calibri" w:cs="Times New Roman"/>
          <w:szCs w:val="24"/>
          <w:lang w:eastAsia="en-US"/>
        </w:rPr>
        <w:t xml:space="preserve"> o </w:t>
      </w:r>
      <w:r w:rsidRPr="004E0F02">
        <w:rPr>
          <w:rFonts w:eastAsia="Calibri" w:cs="Times New Roman"/>
          <w:szCs w:val="24"/>
          <w:lang w:eastAsia="en-US"/>
        </w:rPr>
        <w:t>dostępie do informacji publicznej,</w:t>
      </w:r>
      <w:r w:rsidR="00E45B1D" w:rsidRPr="004E0F02">
        <w:rPr>
          <w:rFonts w:eastAsia="Calibri" w:cs="Times New Roman"/>
          <w:szCs w:val="24"/>
          <w:lang w:eastAsia="en-US"/>
        </w:rPr>
        <w:t xml:space="preserve"> w </w:t>
      </w:r>
      <w:r w:rsidRPr="004E0F02">
        <w:rPr>
          <w:rFonts w:eastAsia="Calibri" w:cs="Times New Roman"/>
          <w:szCs w:val="24"/>
          <w:lang w:eastAsia="en-US"/>
        </w:rPr>
        <w:t>projektowanej ustawie staje się portalem danych</w:t>
      </w:r>
      <w:r w:rsidR="00D22452" w:rsidRPr="004E0F02">
        <w:rPr>
          <w:rFonts w:eastAsia="Calibri" w:cs="Times New Roman"/>
          <w:szCs w:val="24"/>
          <w:lang w:eastAsia="en-US"/>
        </w:rPr>
        <w:t>.</w:t>
      </w:r>
      <w:r w:rsidRPr="004E0F02">
        <w:rPr>
          <w:rFonts w:eastAsia="Calibri" w:cs="Times New Roman"/>
          <w:szCs w:val="24"/>
          <w:lang w:eastAsia="en-US"/>
        </w:rPr>
        <w:t xml:space="preserve"> </w:t>
      </w:r>
    </w:p>
    <w:p w14:paraId="0EE9F7BA" w14:textId="2E7EE870"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Jednocześnie, projektowana ustawa uchyla ustawę</w:t>
      </w:r>
      <w:r w:rsidR="00E45B1D" w:rsidRPr="004E0F02">
        <w:rPr>
          <w:rFonts w:eastAsia="Calibri" w:cs="Times New Roman"/>
          <w:szCs w:val="24"/>
          <w:lang w:eastAsia="en-US"/>
        </w:rPr>
        <w:t xml:space="preserve"> z </w:t>
      </w:r>
      <w:r w:rsidRPr="004E0F02">
        <w:rPr>
          <w:rFonts w:eastAsia="Calibri" w:cs="Times New Roman"/>
          <w:szCs w:val="24"/>
          <w:lang w:eastAsia="en-US"/>
        </w:rPr>
        <w:t>dnia 2</w:t>
      </w:r>
      <w:r w:rsidR="00E45B1D" w:rsidRPr="004E0F02">
        <w:rPr>
          <w:rFonts w:eastAsia="Calibri" w:cs="Times New Roman"/>
          <w:szCs w:val="24"/>
          <w:lang w:eastAsia="en-US"/>
        </w:rPr>
        <w:t>5 </w:t>
      </w:r>
      <w:r w:rsidRPr="004E0F02">
        <w:rPr>
          <w:rFonts w:eastAsia="Calibri" w:cs="Times New Roman"/>
          <w:szCs w:val="24"/>
          <w:lang w:eastAsia="en-US"/>
        </w:rPr>
        <w:t>lutego 201</w:t>
      </w:r>
      <w:r w:rsidR="00E45B1D" w:rsidRPr="004E0F02">
        <w:rPr>
          <w:rFonts w:eastAsia="Calibri" w:cs="Times New Roman"/>
          <w:szCs w:val="24"/>
          <w:lang w:eastAsia="en-US"/>
        </w:rPr>
        <w:t>6 </w:t>
      </w:r>
      <w:r w:rsidRPr="004E0F02">
        <w:rPr>
          <w:rFonts w:eastAsia="Calibri" w:cs="Times New Roman"/>
          <w:szCs w:val="24"/>
          <w:lang w:eastAsia="en-US"/>
        </w:rPr>
        <w:t>r.</w:t>
      </w:r>
      <w:r w:rsidR="00E45B1D" w:rsidRPr="004E0F02">
        <w:rPr>
          <w:rFonts w:eastAsia="Calibri" w:cs="Times New Roman"/>
          <w:szCs w:val="24"/>
          <w:lang w:eastAsia="en-US"/>
        </w:rPr>
        <w:t xml:space="preserve"> o </w:t>
      </w:r>
      <w:r w:rsidRPr="004E0F02">
        <w:rPr>
          <w:rFonts w:eastAsia="Calibri" w:cs="Times New Roman"/>
          <w:szCs w:val="24"/>
          <w:lang w:eastAsia="en-US"/>
        </w:rPr>
        <w:t>ponownym wykorzystywaniu informacji sektora publicznego.</w:t>
      </w:r>
    </w:p>
    <w:p w14:paraId="40D14727" w14:textId="77777777" w:rsidR="00A42682" w:rsidRPr="004E0F02" w:rsidRDefault="00A42682" w:rsidP="00A42682">
      <w:pPr>
        <w:widowControl/>
        <w:spacing w:after="120" w:line="276" w:lineRule="auto"/>
        <w:jc w:val="both"/>
        <w:rPr>
          <w:rFonts w:eastAsia="Calibri" w:cs="Times New Roman"/>
          <w:b/>
          <w:szCs w:val="24"/>
          <w:lang w:eastAsia="en-US"/>
        </w:rPr>
      </w:pPr>
      <w:r w:rsidRPr="004E0F02">
        <w:rPr>
          <w:rFonts w:eastAsia="Calibri" w:cs="Times New Roman"/>
          <w:b/>
          <w:szCs w:val="24"/>
          <w:lang w:eastAsia="en-US"/>
        </w:rPr>
        <w:t xml:space="preserve">VI. Pozostałe informacje </w:t>
      </w:r>
    </w:p>
    <w:p w14:paraId="37A37FEE" w14:textId="1FD81AAD"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Projektowana ustawa nie zawiera przepisów technicznych</w:t>
      </w:r>
      <w:r w:rsidR="00E45B1D" w:rsidRPr="004E0F02">
        <w:rPr>
          <w:rFonts w:eastAsia="Calibri" w:cs="Times New Roman"/>
          <w:szCs w:val="24"/>
          <w:lang w:eastAsia="en-US"/>
        </w:rPr>
        <w:t xml:space="preserve"> w </w:t>
      </w:r>
      <w:r w:rsidRPr="004E0F02">
        <w:rPr>
          <w:rFonts w:eastAsia="Calibri" w:cs="Times New Roman"/>
          <w:szCs w:val="24"/>
          <w:lang w:eastAsia="en-US"/>
        </w:rPr>
        <w:t>rozumieniu rozporządzenia Rady Ministrów</w:t>
      </w:r>
      <w:r w:rsidR="00E45B1D" w:rsidRPr="004E0F02">
        <w:rPr>
          <w:rFonts w:eastAsia="Calibri" w:cs="Times New Roman"/>
          <w:szCs w:val="24"/>
          <w:lang w:eastAsia="en-US"/>
        </w:rPr>
        <w:t xml:space="preserve"> z </w:t>
      </w:r>
      <w:r w:rsidRPr="004E0F02">
        <w:rPr>
          <w:rFonts w:eastAsia="Calibri" w:cs="Times New Roman"/>
          <w:szCs w:val="24"/>
          <w:lang w:eastAsia="en-US"/>
        </w:rPr>
        <w:t>dnia 2</w:t>
      </w:r>
      <w:r w:rsidR="00E45B1D" w:rsidRPr="004E0F02">
        <w:rPr>
          <w:rFonts w:eastAsia="Calibri" w:cs="Times New Roman"/>
          <w:szCs w:val="24"/>
          <w:lang w:eastAsia="en-US"/>
        </w:rPr>
        <w:t>3 </w:t>
      </w:r>
      <w:r w:rsidRPr="004E0F02">
        <w:rPr>
          <w:rFonts w:eastAsia="Calibri" w:cs="Times New Roman"/>
          <w:szCs w:val="24"/>
          <w:lang w:eastAsia="en-US"/>
        </w:rPr>
        <w:t>grudnia 200</w:t>
      </w:r>
      <w:r w:rsidR="00E45B1D" w:rsidRPr="004E0F02">
        <w:rPr>
          <w:rFonts w:eastAsia="Calibri" w:cs="Times New Roman"/>
          <w:szCs w:val="24"/>
          <w:lang w:eastAsia="en-US"/>
        </w:rPr>
        <w:t>2 </w:t>
      </w:r>
      <w:r w:rsidRPr="004E0F02">
        <w:rPr>
          <w:rFonts w:eastAsia="Calibri" w:cs="Times New Roman"/>
          <w:szCs w:val="24"/>
          <w:lang w:eastAsia="en-US"/>
        </w:rPr>
        <w:t>r.</w:t>
      </w:r>
      <w:r w:rsidR="00E45B1D" w:rsidRPr="004E0F02">
        <w:rPr>
          <w:rFonts w:eastAsia="Calibri" w:cs="Times New Roman"/>
          <w:szCs w:val="24"/>
          <w:lang w:eastAsia="en-US"/>
        </w:rPr>
        <w:t xml:space="preserve"> w </w:t>
      </w:r>
      <w:r w:rsidRPr="004E0F02">
        <w:rPr>
          <w:rFonts w:eastAsia="Calibri" w:cs="Times New Roman"/>
          <w:szCs w:val="24"/>
          <w:lang w:eastAsia="en-US"/>
        </w:rPr>
        <w:t>sprawie sposobu funkcjonowania krajowego systemu notyfikacji norm</w:t>
      </w:r>
      <w:r w:rsidR="00E45B1D" w:rsidRPr="004E0F02">
        <w:rPr>
          <w:rFonts w:eastAsia="Calibri" w:cs="Times New Roman"/>
          <w:szCs w:val="24"/>
          <w:lang w:eastAsia="en-US"/>
        </w:rPr>
        <w:t xml:space="preserve"> i </w:t>
      </w:r>
      <w:r w:rsidRPr="004E0F02">
        <w:rPr>
          <w:rFonts w:eastAsia="Calibri" w:cs="Times New Roman"/>
          <w:szCs w:val="24"/>
          <w:lang w:eastAsia="en-US"/>
        </w:rPr>
        <w:t>aktów prawnych (</w:t>
      </w:r>
      <w:r w:rsidR="00E45B1D" w:rsidRPr="004E0F02">
        <w:rPr>
          <w:rFonts w:eastAsia="Calibri" w:cs="Times New Roman"/>
          <w:szCs w:val="24"/>
          <w:lang w:eastAsia="en-US"/>
        </w:rPr>
        <w:t>Dz. U. poz. </w:t>
      </w:r>
      <w:r w:rsidRPr="004E0F02">
        <w:rPr>
          <w:rFonts w:eastAsia="Calibri" w:cs="Times New Roman"/>
          <w:szCs w:val="24"/>
          <w:lang w:eastAsia="en-US"/>
        </w:rPr>
        <w:t>2039,</w:t>
      </w:r>
      <w:r w:rsidR="00E45B1D" w:rsidRPr="004E0F02">
        <w:rPr>
          <w:rFonts w:eastAsia="Calibri" w:cs="Times New Roman"/>
          <w:szCs w:val="24"/>
          <w:lang w:eastAsia="en-US"/>
        </w:rPr>
        <w:t xml:space="preserve"> z </w:t>
      </w:r>
      <w:r w:rsidRPr="004E0F02">
        <w:rPr>
          <w:rFonts w:eastAsia="Calibri" w:cs="Times New Roman"/>
          <w:szCs w:val="24"/>
          <w:lang w:eastAsia="en-US"/>
        </w:rPr>
        <w:t>późn. zm.),</w:t>
      </w:r>
      <w:r w:rsidR="00E45B1D" w:rsidRPr="004E0F02">
        <w:rPr>
          <w:rFonts w:eastAsia="Calibri" w:cs="Times New Roman"/>
          <w:szCs w:val="24"/>
          <w:lang w:eastAsia="en-US"/>
        </w:rPr>
        <w:t xml:space="preserve"> w </w:t>
      </w:r>
      <w:r w:rsidRPr="004E0F02">
        <w:rPr>
          <w:rFonts w:eastAsia="Calibri" w:cs="Times New Roman"/>
          <w:szCs w:val="24"/>
          <w:lang w:eastAsia="en-US"/>
        </w:rPr>
        <w:t>związku</w:t>
      </w:r>
      <w:r w:rsidR="00E45B1D" w:rsidRPr="004E0F02">
        <w:rPr>
          <w:rFonts w:eastAsia="Calibri" w:cs="Times New Roman"/>
          <w:szCs w:val="24"/>
          <w:lang w:eastAsia="en-US"/>
        </w:rPr>
        <w:t xml:space="preserve"> z </w:t>
      </w:r>
      <w:r w:rsidRPr="004E0F02">
        <w:rPr>
          <w:rFonts w:eastAsia="Calibri" w:cs="Times New Roman"/>
          <w:szCs w:val="24"/>
          <w:lang w:eastAsia="en-US"/>
        </w:rPr>
        <w:t>czym nie podlega notyfikacji zgodnie</w:t>
      </w:r>
      <w:r w:rsidR="00E45B1D" w:rsidRPr="004E0F02">
        <w:rPr>
          <w:rFonts w:eastAsia="Calibri" w:cs="Times New Roman"/>
          <w:szCs w:val="24"/>
          <w:lang w:eastAsia="en-US"/>
        </w:rPr>
        <w:t xml:space="preserve"> z </w:t>
      </w:r>
      <w:r w:rsidRPr="004E0F02">
        <w:rPr>
          <w:rFonts w:eastAsia="Calibri" w:cs="Times New Roman"/>
          <w:szCs w:val="24"/>
          <w:lang w:eastAsia="en-US"/>
        </w:rPr>
        <w:t>ww. przepisami.</w:t>
      </w:r>
    </w:p>
    <w:p w14:paraId="166FA25C" w14:textId="26BBD938"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Przedmiot projektowanej regulacji jest zgo</w:t>
      </w:r>
      <w:r w:rsidR="00687090" w:rsidRPr="004E0F02">
        <w:rPr>
          <w:rFonts w:eastAsia="Calibri" w:cs="Times New Roman"/>
          <w:szCs w:val="24"/>
          <w:lang w:eastAsia="en-US"/>
        </w:rPr>
        <w:t>dny</w:t>
      </w:r>
      <w:r w:rsidR="00E45B1D" w:rsidRPr="004E0F02">
        <w:rPr>
          <w:rFonts w:eastAsia="Calibri" w:cs="Times New Roman"/>
          <w:szCs w:val="24"/>
          <w:lang w:eastAsia="en-US"/>
        </w:rPr>
        <w:t xml:space="preserve"> z </w:t>
      </w:r>
      <w:r w:rsidR="00687090" w:rsidRPr="004E0F02">
        <w:rPr>
          <w:rFonts w:eastAsia="Calibri" w:cs="Times New Roman"/>
          <w:szCs w:val="24"/>
          <w:lang w:eastAsia="en-US"/>
        </w:rPr>
        <w:t>prawem Unii Europejskiej.</w:t>
      </w:r>
    </w:p>
    <w:p w14:paraId="53B44F2E" w14:textId="7C57F78E"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Projekt ustawy nie wymaga przedstawienia właściwym organom</w:t>
      </w:r>
      <w:r w:rsidR="00E45B1D" w:rsidRPr="004E0F02">
        <w:rPr>
          <w:rFonts w:eastAsia="Calibri" w:cs="Times New Roman"/>
          <w:szCs w:val="24"/>
          <w:lang w:eastAsia="en-US"/>
        </w:rPr>
        <w:t xml:space="preserve"> i </w:t>
      </w:r>
      <w:r w:rsidRPr="004E0F02">
        <w:rPr>
          <w:rFonts w:eastAsia="Calibri" w:cs="Times New Roman"/>
          <w:szCs w:val="24"/>
          <w:lang w:eastAsia="en-US"/>
        </w:rPr>
        <w:t>instytucjom Unii Europejskiej,</w:t>
      </w:r>
      <w:r w:rsidR="00E45B1D" w:rsidRPr="004E0F02">
        <w:rPr>
          <w:rFonts w:eastAsia="Calibri" w:cs="Times New Roman"/>
          <w:szCs w:val="24"/>
          <w:lang w:eastAsia="en-US"/>
        </w:rPr>
        <w:t xml:space="preserve"> w </w:t>
      </w:r>
      <w:r w:rsidRPr="004E0F02">
        <w:rPr>
          <w:rFonts w:eastAsia="Calibri" w:cs="Times New Roman"/>
          <w:szCs w:val="24"/>
          <w:lang w:eastAsia="en-US"/>
        </w:rPr>
        <w:t>tym Europejskiemu Bankowi Centralnemu,</w:t>
      </w:r>
      <w:r w:rsidR="00E45B1D" w:rsidRPr="004E0F02">
        <w:rPr>
          <w:rFonts w:eastAsia="Calibri" w:cs="Times New Roman"/>
          <w:szCs w:val="24"/>
          <w:lang w:eastAsia="en-US"/>
        </w:rPr>
        <w:t xml:space="preserve"> w </w:t>
      </w:r>
      <w:r w:rsidRPr="004E0F02">
        <w:rPr>
          <w:rFonts w:eastAsia="Calibri" w:cs="Times New Roman"/>
          <w:szCs w:val="24"/>
          <w:lang w:eastAsia="en-US"/>
        </w:rPr>
        <w:t>celu uzyskania opinii, dokonania powiadomienia, konsultacji albo uzgodnienia,</w:t>
      </w:r>
      <w:r w:rsidR="00E45B1D" w:rsidRPr="004E0F02">
        <w:rPr>
          <w:rFonts w:eastAsia="Calibri" w:cs="Times New Roman"/>
          <w:szCs w:val="24"/>
          <w:lang w:eastAsia="en-US"/>
        </w:rPr>
        <w:t xml:space="preserve"> o </w:t>
      </w:r>
      <w:r w:rsidRPr="004E0F02">
        <w:rPr>
          <w:rFonts w:eastAsia="Calibri" w:cs="Times New Roman"/>
          <w:szCs w:val="24"/>
          <w:lang w:eastAsia="en-US"/>
        </w:rPr>
        <w:t>których mowa</w:t>
      </w:r>
      <w:r w:rsidR="00E45B1D" w:rsidRPr="004E0F02">
        <w:rPr>
          <w:rFonts w:eastAsia="Calibri" w:cs="Times New Roman"/>
          <w:szCs w:val="24"/>
          <w:lang w:eastAsia="en-US"/>
        </w:rPr>
        <w:t xml:space="preserve"> w § </w:t>
      </w:r>
      <w:r w:rsidRPr="004E0F02">
        <w:rPr>
          <w:rFonts w:eastAsia="Calibri" w:cs="Times New Roman"/>
          <w:szCs w:val="24"/>
          <w:lang w:eastAsia="en-US"/>
        </w:rPr>
        <w:t>3</w:t>
      </w:r>
      <w:r w:rsidR="00E45B1D" w:rsidRPr="004E0F02">
        <w:rPr>
          <w:rFonts w:eastAsia="Calibri" w:cs="Times New Roman"/>
          <w:szCs w:val="24"/>
          <w:lang w:eastAsia="en-US"/>
        </w:rPr>
        <w:t>9 </w:t>
      </w:r>
      <w:r w:rsidRPr="004E0F02">
        <w:rPr>
          <w:rFonts w:eastAsia="Calibri" w:cs="Times New Roman"/>
          <w:szCs w:val="24"/>
          <w:lang w:eastAsia="en-US"/>
        </w:rPr>
        <w:t>uchwały</w:t>
      </w:r>
      <w:r w:rsidR="00E45B1D" w:rsidRPr="004E0F02">
        <w:rPr>
          <w:rFonts w:eastAsia="Calibri" w:cs="Times New Roman"/>
          <w:szCs w:val="24"/>
          <w:lang w:eastAsia="en-US"/>
        </w:rPr>
        <w:t xml:space="preserve"> nr </w:t>
      </w:r>
      <w:r w:rsidRPr="004E0F02">
        <w:rPr>
          <w:rFonts w:eastAsia="Calibri" w:cs="Times New Roman"/>
          <w:szCs w:val="24"/>
          <w:lang w:eastAsia="en-US"/>
        </w:rPr>
        <w:t>19</w:t>
      </w:r>
      <w:r w:rsidR="00E45B1D" w:rsidRPr="004E0F02">
        <w:rPr>
          <w:rFonts w:eastAsia="Calibri" w:cs="Times New Roman"/>
          <w:szCs w:val="24"/>
          <w:lang w:eastAsia="en-US"/>
        </w:rPr>
        <w:t>0 </w:t>
      </w:r>
      <w:r w:rsidRPr="004E0F02">
        <w:rPr>
          <w:rFonts w:eastAsia="Calibri" w:cs="Times New Roman"/>
          <w:szCs w:val="24"/>
          <w:lang w:eastAsia="en-US"/>
        </w:rPr>
        <w:t>Rady Ministrów</w:t>
      </w:r>
      <w:r w:rsidR="00E45B1D" w:rsidRPr="004E0F02">
        <w:rPr>
          <w:rFonts w:eastAsia="Calibri" w:cs="Times New Roman"/>
          <w:szCs w:val="24"/>
          <w:lang w:eastAsia="en-US"/>
        </w:rPr>
        <w:t xml:space="preserve"> z </w:t>
      </w:r>
      <w:r w:rsidRPr="004E0F02">
        <w:rPr>
          <w:rFonts w:eastAsia="Calibri" w:cs="Times New Roman"/>
          <w:szCs w:val="24"/>
          <w:lang w:eastAsia="en-US"/>
        </w:rPr>
        <w:t>dnia 2</w:t>
      </w:r>
      <w:r w:rsidR="00E45B1D" w:rsidRPr="004E0F02">
        <w:rPr>
          <w:rFonts w:eastAsia="Calibri" w:cs="Times New Roman"/>
          <w:szCs w:val="24"/>
          <w:lang w:eastAsia="en-US"/>
        </w:rPr>
        <w:t>9 </w:t>
      </w:r>
      <w:r w:rsidRPr="004E0F02">
        <w:rPr>
          <w:rFonts w:eastAsia="Calibri" w:cs="Times New Roman"/>
          <w:szCs w:val="24"/>
          <w:lang w:eastAsia="en-US"/>
        </w:rPr>
        <w:t>października 201</w:t>
      </w:r>
      <w:r w:rsidR="00E45B1D" w:rsidRPr="004E0F02">
        <w:rPr>
          <w:rFonts w:eastAsia="Calibri" w:cs="Times New Roman"/>
          <w:szCs w:val="24"/>
          <w:lang w:eastAsia="en-US"/>
        </w:rPr>
        <w:t>3 </w:t>
      </w:r>
      <w:r w:rsidRPr="004E0F02">
        <w:rPr>
          <w:rFonts w:eastAsia="Calibri" w:cs="Times New Roman"/>
          <w:szCs w:val="24"/>
          <w:lang w:eastAsia="en-US"/>
        </w:rPr>
        <w:t>r. – Regulamin pracy Rady Ministrów (M.P.</w:t>
      </w:r>
      <w:r w:rsidR="00E45B1D" w:rsidRPr="004E0F02">
        <w:rPr>
          <w:rFonts w:eastAsia="Calibri" w:cs="Times New Roman"/>
          <w:szCs w:val="24"/>
          <w:lang w:eastAsia="en-US"/>
        </w:rPr>
        <w:t xml:space="preserve"> z </w:t>
      </w:r>
      <w:r w:rsidRPr="004E0F02">
        <w:rPr>
          <w:rFonts w:eastAsia="Calibri" w:cs="Times New Roman"/>
          <w:szCs w:val="24"/>
          <w:lang w:eastAsia="en-US"/>
        </w:rPr>
        <w:t>201</w:t>
      </w:r>
      <w:r w:rsidR="00E45B1D" w:rsidRPr="004E0F02">
        <w:rPr>
          <w:rFonts w:eastAsia="Calibri" w:cs="Times New Roman"/>
          <w:szCs w:val="24"/>
          <w:lang w:eastAsia="en-US"/>
        </w:rPr>
        <w:t>6 </w:t>
      </w:r>
      <w:r w:rsidRPr="004E0F02">
        <w:rPr>
          <w:rFonts w:eastAsia="Calibri" w:cs="Times New Roman"/>
          <w:szCs w:val="24"/>
          <w:lang w:eastAsia="en-US"/>
        </w:rPr>
        <w:t>r.</w:t>
      </w:r>
      <w:r w:rsidR="00E45B1D" w:rsidRPr="004E0F02">
        <w:rPr>
          <w:rFonts w:eastAsia="Calibri" w:cs="Times New Roman"/>
          <w:szCs w:val="24"/>
          <w:lang w:eastAsia="en-US"/>
        </w:rPr>
        <w:t xml:space="preserve"> poz. </w:t>
      </w:r>
      <w:r w:rsidRPr="004E0F02">
        <w:rPr>
          <w:rFonts w:eastAsia="Calibri" w:cs="Times New Roman"/>
          <w:szCs w:val="24"/>
          <w:lang w:eastAsia="en-US"/>
        </w:rPr>
        <w:t>1006,</w:t>
      </w:r>
      <w:r w:rsidR="00E45B1D" w:rsidRPr="004E0F02">
        <w:rPr>
          <w:rFonts w:eastAsia="Calibri" w:cs="Times New Roman"/>
          <w:szCs w:val="24"/>
          <w:lang w:eastAsia="en-US"/>
        </w:rPr>
        <w:t xml:space="preserve"> z </w:t>
      </w:r>
      <w:r w:rsidRPr="004E0F02">
        <w:rPr>
          <w:rFonts w:eastAsia="Calibri" w:cs="Times New Roman"/>
          <w:szCs w:val="24"/>
          <w:lang w:eastAsia="en-US"/>
        </w:rPr>
        <w:t>późn. zm.).</w:t>
      </w:r>
    </w:p>
    <w:p w14:paraId="474E748C" w14:textId="69C216ED"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Ogłoszona</w:t>
      </w:r>
      <w:r w:rsidR="00E45B1D" w:rsidRPr="004E0F02">
        <w:rPr>
          <w:rFonts w:eastAsia="Calibri" w:cs="Times New Roman"/>
          <w:szCs w:val="24"/>
          <w:lang w:eastAsia="en-US"/>
        </w:rPr>
        <w:t xml:space="preserve"> w </w:t>
      </w:r>
      <w:r w:rsidRPr="004E0F02">
        <w:rPr>
          <w:rFonts w:eastAsia="Calibri" w:cs="Times New Roman"/>
          <w:szCs w:val="24"/>
          <w:lang w:eastAsia="en-US"/>
        </w:rPr>
        <w:t>Dzienniku Ustaw ustawa zostanie przekazana do Komisji Europejskiej jako krajowy środek wykonawczy.</w:t>
      </w:r>
    </w:p>
    <w:p w14:paraId="27D9FAB9" w14:textId="782ADCC0"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Wejście</w:t>
      </w:r>
      <w:r w:rsidR="00E45B1D" w:rsidRPr="004E0F02">
        <w:rPr>
          <w:rFonts w:eastAsia="Calibri" w:cs="Times New Roman"/>
          <w:szCs w:val="24"/>
          <w:lang w:eastAsia="en-US"/>
        </w:rPr>
        <w:t xml:space="preserve"> w </w:t>
      </w:r>
      <w:r w:rsidRPr="004E0F02">
        <w:rPr>
          <w:rFonts w:eastAsia="Calibri" w:cs="Times New Roman"/>
          <w:szCs w:val="24"/>
          <w:lang w:eastAsia="en-US"/>
        </w:rPr>
        <w:t>życie projektowanej ustawy nie będzie miało wpływu na konkurencyjność gospodarki</w:t>
      </w:r>
      <w:r w:rsidR="00E45B1D" w:rsidRPr="004E0F02">
        <w:rPr>
          <w:rFonts w:eastAsia="Calibri" w:cs="Times New Roman"/>
          <w:szCs w:val="24"/>
          <w:lang w:eastAsia="en-US"/>
        </w:rPr>
        <w:t xml:space="preserve"> i </w:t>
      </w:r>
      <w:r w:rsidRPr="004E0F02">
        <w:rPr>
          <w:rFonts w:eastAsia="Calibri" w:cs="Times New Roman"/>
          <w:szCs w:val="24"/>
          <w:lang w:eastAsia="en-US"/>
        </w:rPr>
        <w:t>przedsiębiorczość,</w:t>
      </w:r>
      <w:r w:rsidR="00E45B1D" w:rsidRPr="004E0F02">
        <w:rPr>
          <w:rFonts w:eastAsia="Calibri" w:cs="Times New Roman"/>
          <w:szCs w:val="24"/>
          <w:lang w:eastAsia="en-US"/>
        </w:rPr>
        <w:t xml:space="preserve"> w </w:t>
      </w:r>
      <w:r w:rsidRPr="004E0F02">
        <w:rPr>
          <w:rFonts w:eastAsia="Calibri" w:cs="Times New Roman"/>
          <w:szCs w:val="24"/>
          <w:lang w:eastAsia="en-US"/>
        </w:rPr>
        <w:t>tym funkcjonowanie przedsiębiorców,</w:t>
      </w:r>
      <w:r w:rsidR="00E45B1D" w:rsidRPr="004E0F02">
        <w:rPr>
          <w:rFonts w:eastAsia="Calibri" w:cs="Times New Roman"/>
          <w:szCs w:val="24"/>
          <w:lang w:eastAsia="en-US"/>
        </w:rPr>
        <w:t xml:space="preserve"> a </w:t>
      </w:r>
      <w:r w:rsidRPr="004E0F02">
        <w:rPr>
          <w:rFonts w:eastAsia="Calibri" w:cs="Times New Roman"/>
          <w:szCs w:val="24"/>
          <w:lang w:eastAsia="en-US"/>
        </w:rPr>
        <w:t>zwłaszcza mikroprzedsiębiorców, małych</w:t>
      </w:r>
      <w:r w:rsidR="00E45B1D" w:rsidRPr="004E0F02">
        <w:rPr>
          <w:rFonts w:eastAsia="Calibri" w:cs="Times New Roman"/>
          <w:szCs w:val="24"/>
          <w:lang w:eastAsia="en-US"/>
        </w:rPr>
        <w:t xml:space="preserve"> i </w:t>
      </w:r>
      <w:r w:rsidRPr="004E0F02">
        <w:rPr>
          <w:rFonts w:eastAsia="Calibri" w:cs="Times New Roman"/>
          <w:szCs w:val="24"/>
          <w:lang w:eastAsia="en-US"/>
        </w:rPr>
        <w:t>średnich przedsiębiorców oraz na sytuację ekonomiczną i</w:t>
      </w:r>
      <w:r w:rsidR="0020237B" w:rsidRPr="004E0F02">
        <w:rPr>
          <w:rFonts w:eastAsia="Calibri" w:cs="Times New Roman"/>
          <w:szCs w:val="24"/>
          <w:lang w:eastAsia="en-US"/>
        </w:rPr>
        <w:t> </w:t>
      </w:r>
      <w:r w:rsidRPr="004E0F02">
        <w:rPr>
          <w:rFonts w:eastAsia="Calibri" w:cs="Times New Roman"/>
          <w:szCs w:val="24"/>
          <w:lang w:eastAsia="en-US"/>
        </w:rPr>
        <w:t>społeczną rodziny,</w:t>
      </w:r>
      <w:r w:rsidR="00E45B1D" w:rsidRPr="004E0F02">
        <w:rPr>
          <w:rFonts w:eastAsia="Calibri" w:cs="Times New Roman"/>
          <w:szCs w:val="24"/>
          <w:lang w:eastAsia="en-US"/>
        </w:rPr>
        <w:t xml:space="preserve"> a </w:t>
      </w:r>
      <w:r w:rsidRPr="004E0F02">
        <w:rPr>
          <w:rFonts w:eastAsia="Calibri" w:cs="Times New Roman"/>
          <w:szCs w:val="24"/>
          <w:lang w:eastAsia="en-US"/>
        </w:rPr>
        <w:t>także osób niepełnosprawnych oraz osób starszych.</w:t>
      </w:r>
    </w:p>
    <w:p w14:paraId="70745934" w14:textId="295E0DA2"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Stosownie do</w:t>
      </w:r>
      <w:r w:rsidR="00E45B1D" w:rsidRPr="004E0F02">
        <w:rPr>
          <w:rFonts w:eastAsia="Calibri" w:cs="Times New Roman"/>
          <w:szCs w:val="24"/>
          <w:lang w:eastAsia="en-US"/>
        </w:rPr>
        <w:t xml:space="preserve"> art. 5 </w:t>
      </w:r>
      <w:r w:rsidRPr="004E0F02">
        <w:rPr>
          <w:rFonts w:eastAsia="Calibri" w:cs="Times New Roman"/>
          <w:szCs w:val="24"/>
          <w:lang w:eastAsia="en-US"/>
        </w:rPr>
        <w:t>ustawy</w:t>
      </w:r>
      <w:r w:rsidR="00E45B1D" w:rsidRPr="004E0F02">
        <w:rPr>
          <w:rFonts w:eastAsia="Calibri" w:cs="Times New Roman"/>
          <w:szCs w:val="24"/>
          <w:lang w:eastAsia="en-US"/>
        </w:rPr>
        <w:t xml:space="preserve"> z </w:t>
      </w:r>
      <w:r w:rsidRPr="004E0F02">
        <w:rPr>
          <w:rFonts w:eastAsia="Calibri" w:cs="Times New Roman"/>
          <w:szCs w:val="24"/>
          <w:lang w:eastAsia="en-US"/>
        </w:rPr>
        <w:t xml:space="preserve">dnia </w:t>
      </w:r>
      <w:r w:rsidR="00E45B1D" w:rsidRPr="004E0F02">
        <w:rPr>
          <w:rFonts w:eastAsia="Calibri" w:cs="Times New Roman"/>
          <w:szCs w:val="24"/>
          <w:lang w:eastAsia="en-US"/>
        </w:rPr>
        <w:t>7 </w:t>
      </w:r>
      <w:r w:rsidRPr="004E0F02">
        <w:rPr>
          <w:rFonts w:eastAsia="Calibri" w:cs="Times New Roman"/>
          <w:szCs w:val="24"/>
          <w:lang w:eastAsia="en-US"/>
        </w:rPr>
        <w:t>lipca 200</w:t>
      </w:r>
      <w:r w:rsidR="00E45B1D" w:rsidRPr="004E0F02">
        <w:rPr>
          <w:rFonts w:eastAsia="Calibri" w:cs="Times New Roman"/>
          <w:szCs w:val="24"/>
          <w:lang w:eastAsia="en-US"/>
        </w:rPr>
        <w:t>5 </w:t>
      </w:r>
      <w:r w:rsidRPr="004E0F02">
        <w:rPr>
          <w:rFonts w:eastAsia="Calibri" w:cs="Times New Roman"/>
          <w:szCs w:val="24"/>
          <w:lang w:eastAsia="en-US"/>
        </w:rPr>
        <w:t>r.</w:t>
      </w:r>
      <w:r w:rsidR="00E45B1D" w:rsidRPr="004E0F02">
        <w:rPr>
          <w:rFonts w:eastAsia="Calibri" w:cs="Times New Roman"/>
          <w:szCs w:val="24"/>
          <w:lang w:eastAsia="en-US"/>
        </w:rPr>
        <w:t xml:space="preserve"> o </w:t>
      </w:r>
      <w:r w:rsidRPr="004E0F02">
        <w:rPr>
          <w:rFonts w:eastAsia="Calibri" w:cs="Times New Roman"/>
          <w:szCs w:val="24"/>
          <w:lang w:eastAsia="en-US"/>
        </w:rPr>
        <w:t>działalności lobbingowej</w:t>
      </w:r>
      <w:r w:rsidR="00E45B1D" w:rsidRPr="004E0F02">
        <w:rPr>
          <w:rFonts w:eastAsia="Calibri" w:cs="Times New Roman"/>
          <w:szCs w:val="24"/>
          <w:lang w:eastAsia="en-US"/>
        </w:rPr>
        <w:t xml:space="preserve"> w </w:t>
      </w:r>
      <w:r w:rsidRPr="004E0F02">
        <w:rPr>
          <w:rFonts w:eastAsia="Calibri" w:cs="Times New Roman"/>
          <w:szCs w:val="24"/>
          <w:lang w:eastAsia="en-US"/>
        </w:rPr>
        <w:t>procesie stanowienia prawa (</w:t>
      </w:r>
      <w:r w:rsidR="00E45B1D" w:rsidRPr="004E0F02">
        <w:rPr>
          <w:rFonts w:eastAsia="Calibri" w:cs="Times New Roman"/>
          <w:szCs w:val="24"/>
          <w:lang w:eastAsia="en-US"/>
        </w:rPr>
        <w:t>Dz. U. z </w:t>
      </w:r>
      <w:r w:rsidRPr="004E0F02">
        <w:rPr>
          <w:rFonts w:eastAsia="Calibri" w:cs="Times New Roman"/>
          <w:szCs w:val="24"/>
          <w:lang w:eastAsia="en-US"/>
        </w:rPr>
        <w:t>201</w:t>
      </w:r>
      <w:r w:rsidR="00E45B1D" w:rsidRPr="004E0F02">
        <w:rPr>
          <w:rFonts w:eastAsia="Calibri" w:cs="Times New Roman"/>
          <w:szCs w:val="24"/>
          <w:lang w:eastAsia="en-US"/>
        </w:rPr>
        <w:t>7 </w:t>
      </w:r>
      <w:r w:rsidRPr="004E0F02">
        <w:rPr>
          <w:rFonts w:eastAsia="Calibri" w:cs="Times New Roman"/>
          <w:szCs w:val="24"/>
          <w:lang w:eastAsia="en-US"/>
        </w:rPr>
        <w:t>r.</w:t>
      </w:r>
      <w:r w:rsidR="00E45B1D" w:rsidRPr="004E0F02">
        <w:rPr>
          <w:rFonts w:eastAsia="Calibri" w:cs="Times New Roman"/>
          <w:szCs w:val="24"/>
          <w:lang w:eastAsia="en-US"/>
        </w:rPr>
        <w:t xml:space="preserve"> poz. </w:t>
      </w:r>
      <w:r w:rsidRPr="004E0F02">
        <w:rPr>
          <w:rFonts w:eastAsia="Calibri" w:cs="Times New Roman"/>
          <w:szCs w:val="24"/>
          <w:lang w:eastAsia="en-US"/>
        </w:rPr>
        <w:t>248) oraz</w:t>
      </w:r>
      <w:r w:rsidR="00E45B1D" w:rsidRPr="004E0F02">
        <w:rPr>
          <w:rFonts w:eastAsia="Calibri" w:cs="Times New Roman"/>
          <w:szCs w:val="24"/>
          <w:lang w:eastAsia="en-US"/>
        </w:rPr>
        <w:t xml:space="preserve"> art. </w:t>
      </w:r>
      <w:r w:rsidRPr="004E0F02">
        <w:rPr>
          <w:rFonts w:eastAsia="Calibri" w:cs="Times New Roman"/>
          <w:szCs w:val="24"/>
          <w:lang w:eastAsia="en-US"/>
        </w:rPr>
        <w:t>5</w:t>
      </w:r>
      <w:r w:rsidR="00E45B1D" w:rsidRPr="004E0F02">
        <w:rPr>
          <w:rFonts w:eastAsia="Calibri" w:cs="Times New Roman"/>
          <w:szCs w:val="24"/>
          <w:lang w:eastAsia="en-US"/>
        </w:rPr>
        <w:t>2 § 1 </w:t>
      </w:r>
      <w:r w:rsidRPr="004E0F02">
        <w:rPr>
          <w:rFonts w:eastAsia="Calibri" w:cs="Times New Roman"/>
          <w:szCs w:val="24"/>
          <w:lang w:eastAsia="en-US"/>
        </w:rPr>
        <w:t>uchwały</w:t>
      </w:r>
      <w:r w:rsidR="00E45B1D" w:rsidRPr="004E0F02">
        <w:rPr>
          <w:rFonts w:eastAsia="Calibri" w:cs="Times New Roman"/>
          <w:szCs w:val="24"/>
          <w:lang w:eastAsia="en-US"/>
        </w:rPr>
        <w:t xml:space="preserve"> Nr </w:t>
      </w:r>
      <w:r w:rsidRPr="004E0F02">
        <w:rPr>
          <w:rFonts w:eastAsia="Calibri" w:cs="Times New Roman"/>
          <w:szCs w:val="24"/>
          <w:lang w:eastAsia="en-US"/>
        </w:rPr>
        <w:t>19</w:t>
      </w:r>
      <w:r w:rsidR="00E45B1D" w:rsidRPr="004E0F02">
        <w:rPr>
          <w:rFonts w:eastAsia="Calibri" w:cs="Times New Roman"/>
          <w:szCs w:val="24"/>
          <w:lang w:eastAsia="en-US"/>
        </w:rPr>
        <w:t>0 </w:t>
      </w:r>
      <w:r w:rsidRPr="004E0F02">
        <w:rPr>
          <w:rFonts w:eastAsia="Calibri" w:cs="Times New Roman"/>
          <w:szCs w:val="24"/>
          <w:lang w:eastAsia="en-US"/>
        </w:rPr>
        <w:t>Rady Ministrów</w:t>
      </w:r>
      <w:r w:rsidR="00E45B1D" w:rsidRPr="004E0F02">
        <w:rPr>
          <w:rFonts w:eastAsia="Calibri" w:cs="Times New Roman"/>
          <w:szCs w:val="24"/>
          <w:lang w:eastAsia="en-US"/>
        </w:rPr>
        <w:t xml:space="preserve"> z </w:t>
      </w:r>
      <w:r w:rsidRPr="004E0F02">
        <w:rPr>
          <w:rFonts w:eastAsia="Calibri" w:cs="Times New Roman"/>
          <w:szCs w:val="24"/>
          <w:lang w:eastAsia="en-US"/>
        </w:rPr>
        <w:t>2</w:t>
      </w:r>
      <w:r w:rsidR="00E45B1D" w:rsidRPr="004E0F02">
        <w:rPr>
          <w:rFonts w:eastAsia="Calibri" w:cs="Times New Roman"/>
          <w:szCs w:val="24"/>
          <w:lang w:eastAsia="en-US"/>
        </w:rPr>
        <w:t>9 </w:t>
      </w:r>
      <w:r w:rsidRPr="004E0F02">
        <w:rPr>
          <w:rFonts w:eastAsia="Calibri" w:cs="Times New Roman"/>
          <w:szCs w:val="24"/>
          <w:lang w:eastAsia="en-US"/>
        </w:rPr>
        <w:t>października 201</w:t>
      </w:r>
      <w:r w:rsidR="00E45B1D" w:rsidRPr="004E0F02">
        <w:rPr>
          <w:rFonts w:eastAsia="Calibri" w:cs="Times New Roman"/>
          <w:szCs w:val="24"/>
          <w:lang w:eastAsia="en-US"/>
        </w:rPr>
        <w:t>3 </w:t>
      </w:r>
      <w:r w:rsidRPr="004E0F02">
        <w:rPr>
          <w:rFonts w:eastAsia="Calibri" w:cs="Times New Roman"/>
          <w:szCs w:val="24"/>
          <w:lang w:eastAsia="en-US"/>
        </w:rPr>
        <w:t xml:space="preserve">r. </w:t>
      </w:r>
      <w:r w:rsidR="00E45B1D" w:rsidRPr="004E0F02">
        <w:rPr>
          <w:rFonts w:eastAsia="Calibri" w:cs="Times New Roman"/>
          <w:szCs w:val="24"/>
          <w:lang w:eastAsia="en-US"/>
        </w:rPr>
        <w:noBreakHyphen/>
        <w:t xml:space="preserve"> </w:t>
      </w:r>
      <w:r w:rsidRPr="004E0F02">
        <w:rPr>
          <w:rFonts w:eastAsia="Calibri" w:cs="Times New Roman"/>
          <w:szCs w:val="24"/>
          <w:lang w:eastAsia="en-US"/>
        </w:rPr>
        <w:t>Regulamin pracy Rady Ministrów,</w:t>
      </w:r>
      <w:r w:rsidR="00E45B1D" w:rsidRPr="004E0F02">
        <w:rPr>
          <w:rFonts w:eastAsia="Calibri" w:cs="Times New Roman"/>
          <w:szCs w:val="24"/>
          <w:lang w:eastAsia="en-US"/>
        </w:rPr>
        <w:t xml:space="preserve"> z </w:t>
      </w:r>
      <w:r w:rsidRPr="004E0F02">
        <w:rPr>
          <w:rFonts w:eastAsia="Calibri" w:cs="Times New Roman"/>
          <w:szCs w:val="24"/>
          <w:lang w:eastAsia="en-US"/>
        </w:rPr>
        <w:t>chwilą skierowania do</w:t>
      </w:r>
      <w:r w:rsidR="008713EA" w:rsidRPr="004E0F02">
        <w:rPr>
          <w:rFonts w:eastAsia="Calibri" w:cs="Times New Roman"/>
          <w:szCs w:val="24"/>
          <w:lang w:eastAsia="en-US"/>
        </w:rPr>
        <w:t> </w:t>
      </w:r>
      <w:r w:rsidRPr="004E0F02">
        <w:rPr>
          <w:rFonts w:eastAsia="Calibri" w:cs="Times New Roman"/>
          <w:szCs w:val="24"/>
          <w:lang w:eastAsia="en-US"/>
        </w:rPr>
        <w:t>uzgodnień międzyresortowych</w:t>
      </w:r>
      <w:r w:rsidR="00E45B1D" w:rsidRPr="004E0F02">
        <w:rPr>
          <w:rFonts w:eastAsia="Calibri" w:cs="Times New Roman"/>
          <w:szCs w:val="24"/>
          <w:lang w:eastAsia="en-US"/>
        </w:rPr>
        <w:t xml:space="preserve"> i </w:t>
      </w:r>
      <w:r w:rsidRPr="004E0F02">
        <w:rPr>
          <w:rFonts w:eastAsia="Calibri" w:cs="Times New Roman"/>
          <w:szCs w:val="24"/>
          <w:lang w:eastAsia="en-US"/>
        </w:rPr>
        <w:t xml:space="preserve">konsultacji publicznych projekt ustawy zostanie </w:t>
      </w:r>
      <w:r w:rsidRPr="004E0F02">
        <w:rPr>
          <w:rFonts w:eastAsia="Calibri" w:cs="Times New Roman"/>
          <w:szCs w:val="24"/>
          <w:lang w:eastAsia="en-US"/>
        </w:rPr>
        <w:lastRenderedPageBreak/>
        <w:t>udostępniony</w:t>
      </w:r>
      <w:r w:rsidR="00E45B1D" w:rsidRPr="004E0F02">
        <w:rPr>
          <w:rFonts w:eastAsia="Calibri" w:cs="Times New Roman"/>
          <w:szCs w:val="24"/>
          <w:lang w:eastAsia="en-US"/>
        </w:rPr>
        <w:t xml:space="preserve"> w </w:t>
      </w:r>
      <w:r w:rsidRPr="004E0F02">
        <w:rPr>
          <w:rFonts w:eastAsia="Calibri" w:cs="Times New Roman"/>
          <w:szCs w:val="24"/>
          <w:lang w:eastAsia="en-US"/>
        </w:rPr>
        <w:t>Biuletynie Informacji Publicznej Rządowego Centrum Legislacji</w:t>
      </w:r>
      <w:r w:rsidR="00E45B1D" w:rsidRPr="004E0F02">
        <w:rPr>
          <w:rFonts w:eastAsia="Calibri" w:cs="Times New Roman"/>
          <w:szCs w:val="24"/>
          <w:lang w:eastAsia="en-US"/>
        </w:rPr>
        <w:t xml:space="preserve"> w </w:t>
      </w:r>
      <w:r w:rsidRPr="004E0F02">
        <w:rPr>
          <w:rFonts w:eastAsia="Calibri" w:cs="Times New Roman"/>
          <w:szCs w:val="24"/>
          <w:lang w:eastAsia="en-US"/>
        </w:rPr>
        <w:t>serwisie Rządowy Proces Legislacyjny.</w:t>
      </w:r>
    </w:p>
    <w:p w14:paraId="3A8F2377" w14:textId="6873063B" w:rsidR="00A42682" w:rsidRPr="004E0F02" w:rsidRDefault="00A42682" w:rsidP="00A42682">
      <w:pPr>
        <w:widowControl/>
        <w:spacing w:after="120" w:line="276" w:lineRule="auto"/>
        <w:jc w:val="both"/>
        <w:rPr>
          <w:rFonts w:eastAsia="Calibri" w:cs="Times New Roman"/>
          <w:szCs w:val="24"/>
          <w:lang w:eastAsia="en-US"/>
        </w:rPr>
      </w:pPr>
      <w:r w:rsidRPr="004E0F02">
        <w:rPr>
          <w:rFonts w:eastAsia="Calibri" w:cs="Times New Roman"/>
          <w:szCs w:val="24"/>
          <w:lang w:eastAsia="en-US"/>
        </w:rPr>
        <w:t>Planuje się, że ustawa wejdzie</w:t>
      </w:r>
      <w:r w:rsidR="00E45B1D" w:rsidRPr="004E0F02">
        <w:rPr>
          <w:rFonts w:eastAsia="Calibri" w:cs="Times New Roman"/>
          <w:szCs w:val="24"/>
          <w:lang w:eastAsia="en-US"/>
        </w:rPr>
        <w:t xml:space="preserve"> w </w:t>
      </w:r>
      <w:r w:rsidRPr="004E0F02">
        <w:rPr>
          <w:rFonts w:eastAsia="Calibri" w:cs="Times New Roman"/>
          <w:szCs w:val="24"/>
          <w:lang w:eastAsia="en-US"/>
        </w:rPr>
        <w:t xml:space="preserve">życie po upływie </w:t>
      </w:r>
      <w:r w:rsidR="00E45B1D" w:rsidRPr="004E0F02">
        <w:rPr>
          <w:rFonts w:eastAsia="Calibri" w:cs="Times New Roman"/>
          <w:szCs w:val="24"/>
          <w:lang w:eastAsia="en-US"/>
        </w:rPr>
        <w:t>3 </w:t>
      </w:r>
      <w:r w:rsidRPr="004E0F02">
        <w:rPr>
          <w:rFonts w:eastAsia="Calibri" w:cs="Times New Roman"/>
          <w:szCs w:val="24"/>
          <w:lang w:eastAsia="en-US"/>
        </w:rPr>
        <w:t>miesięcy od dnia ogłoszenia</w:t>
      </w:r>
      <w:r w:rsidR="00D22452" w:rsidRPr="004E0F02">
        <w:rPr>
          <w:rFonts w:eastAsia="Calibri" w:cs="Times New Roman"/>
          <w:szCs w:val="24"/>
          <w:lang w:eastAsia="en-US"/>
        </w:rPr>
        <w:t>, z wyjątkiem przepisów dot. danych dynamicznych (art.</w:t>
      </w:r>
      <w:r w:rsidR="00584FC1" w:rsidRPr="004E0F02">
        <w:rPr>
          <w:rFonts w:eastAsia="Calibri" w:cs="Times New Roman"/>
          <w:szCs w:val="24"/>
          <w:lang w:eastAsia="en-US"/>
        </w:rPr>
        <w:t xml:space="preserve"> </w:t>
      </w:r>
      <w:r w:rsidR="00D22452" w:rsidRPr="004E0F02">
        <w:rPr>
          <w:rFonts w:eastAsia="Calibri" w:cs="Times New Roman"/>
          <w:szCs w:val="24"/>
          <w:lang w:eastAsia="en-US"/>
        </w:rPr>
        <w:t>24 projektu ustawy)</w:t>
      </w:r>
      <w:r w:rsidRPr="004E0F02">
        <w:rPr>
          <w:rFonts w:eastAsia="Calibri" w:cs="Times New Roman"/>
          <w:szCs w:val="24"/>
          <w:lang w:eastAsia="en-US"/>
        </w:rPr>
        <w:t>.</w:t>
      </w:r>
    </w:p>
    <w:p w14:paraId="20506493" w14:textId="77777777" w:rsidR="00687090" w:rsidRPr="004E0F02" w:rsidRDefault="00687090">
      <w:pPr>
        <w:widowControl/>
        <w:autoSpaceDE/>
        <w:autoSpaceDN/>
        <w:adjustRightInd/>
        <w:rPr>
          <w:rFonts w:ascii="Times" w:hAnsi="Times"/>
        </w:rPr>
      </w:pPr>
      <w:r w:rsidRPr="004E0F02">
        <w:rPr>
          <w:rFonts w:ascii="Times" w:hAnsi="Times"/>
        </w:rPr>
        <w:br w:type="page"/>
      </w:r>
    </w:p>
    <w:p w14:paraId="472F14CC" w14:textId="77777777" w:rsidR="00A42682" w:rsidRPr="004E0F02" w:rsidRDefault="00A42682">
      <w:pPr>
        <w:widowControl/>
        <w:autoSpaceDE/>
        <w:autoSpaceDN/>
        <w:adjustRightInd/>
        <w:rPr>
          <w:rFonts w:ascii="Times" w:hAnsi="Times"/>
        </w:rPr>
      </w:pPr>
    </w:p>
    <w:p w14:paraId="743DB531" w14:textId="77777777" w:rsidR="00CE2D18" w:rsidRPr="004E0F02" w:rsidRDefault="00CE2D18">
      <w:pPr>
        <w:widowControl/>
        <w:autoSpaceDE/>
        <w:autoSpaceDN/>
        <w:adjustRightInd/>
        <w:rPr>
          <w:rFonts w:ascii="Times" w:hAnsi="Tim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
        <w:gridCol w:w="1433"/>
        <w:gridCol w:w="222"/>
        <w:gridCol w:w="295"/>
        <w:gridCol w:w="255"/>
        <w:gridCol w:w="233"/>
        <w:gridCol w:w="253"/>
        <w:gridCol w:w="279"/>
        <w:gridCol w:w="208"/>
        <w:gridCol w:w="241"/>
        <w:gridCol w:w="246"/>
        <w:gridCol w:w="255"/>
        <w:gridCol w:w="232"/>
        <w:gridCol w:w="244"/>
        <w:gridCol w:w="264"/>
        <w:gridCol w:w="232"/>
        <w:gridCol w:w="235"/>
        <w:gridCol w:w="119"/>
        <w:gridCol w:w="400"/>
        <w:gridCol w:w="166"/>
        <w:gridCol w:w="123"/>
        <w:gridCol w:w="443"/>
        <w:gridCol w:w="568"/>
        <w:gridCol w:w="566"/>
        <w:gridCol w:w="143"/>
        <w:gridCol w:w="402"/>
      </w:tblGrid>
      <w:tr w:rsidR="00CE2D18" w:rsidRPr="004E0F02" w14:paraId="27C51D3C" w14:textId="77777777" w:rsidTr="0001659E">
        <w:trPr>
          <w:trHeight w:val="1611"/>
        </w:trPr>
        <w:tc>
          <w:tcPr>
            <w:tcW w:w="3250" w:type="pct"/>
            <w:gridSpan w:val="17"/>
          </w:tcPr>
          <w:p w14:paraId="7E5D05E5" w14:textId="77777777" w:rsidR="00CE2D18" w:rsidRPr="004E0F02" w:rsidRDefault="00CE2D18" w:rsidP="009A0D0F">
            <w:pPr>
              <w:spacing w:before="120" w:line="240" w:lineRule="auto"/>
              <w:rPr>
                <w:sz w:val="22"/>
                <w:szCs w:val="22"/>
              </w:rPr>
            </w:pPr>
            <w:bookmarkStart w:id="1" w:name="t1"/>
            <w:r w:rsidRPr="004E0F02">
              <w:rPr>
                <w:b/>
                <w:sz w:val="22"/>
                <w:szCs w:val="22"/>
              </w:rPr>
              <w:t>Nazwa projektu</w:t>
            </w:r>
          </w:p>
          <w:p w14:paraId="51B80E03" w14:textId="77777777" w:rsidR="00CE2D18" w:rsidRPr="004E0F02" w:rsidRDefault="00CE2D18" w:rsidP="009A0D0F">
            <w:pPr>
              <w:spacing w:line="240" w:lineRule="auto"/>
              <w:rPr>
                <w:sz w:val="22"/>
                <w:szCs w:val="22"/>
              </w:rPr>
            </w:pPr>
            <w:r w:rsidRPr="004E0F02">
              <w:rPr>
                <w:sz w:val="22"/>
                <w:szCs w:val="22"/>
              </w:rPr>
              <w:t>Projekt ustawy</w:t>
            </w:r>
            <w:r w:rsidR="00AF626C" w:rsidRPr="004E0F02">
              <w:rPr>
                <w:sz w:val="22"/>
                <w:szCs w:val="22"/>
              </w:rPr>
              <w:t xml:space="preserve"> o </w:t>
            </w:r>
            <w:r w:rsidRPr="004E0F02">
              <w:rPr>
                <w:sz w:val="22"/>
                <w:szCs w:val="22"/>
              </w:rPr>
              <w:t>otwartych danych</w:t>
            </w:r>
            <w:r w:rsidR="00AF626C" w:rsidRPr="004E0F02">
              <w:rPr>
                <w:sz w:val="22"/>
                <w:szCs w:val="22"/>
              </w:rPr>
              <w:t xml:space="preserve"> i </w:t>
            </w:r>
            <w:r w:rsidRPr="004E0F02">
              <w:rPr>
                <w:sz w:val="22"/>
                <w:szCs w:val="22"/>
              </w:rPr>
              <w:t>ponownym wykorzystywaniu informacji sektora publicznego</w:t>
            </w:r>
          </w:p>
          <w:p w14:paraId="1CFE719E" w14:textId="77777777" w:rsidR="00CE2D18" w:rsidRPr="004E0F02" w:rsidRDefault="00CE2D18" w:rsidP="009A0D0F">
            <w:pPr>
              <w:spacing w:before="120" w:line="240" w:lineRule="auto"/>
              <w:rPr>
                <w:b/>
                <w:sz w:val="22"/>
                <w:szCs w:val="22"/>
              </w:rPr>
            </w:pPr>
            <w:r w:rsidRPr="004E0F02">
              <w:rPr>
                <w:b/>
                <w:sz w:val="22"/>
                <w:szCs w:val="22"/>
              </w:rPr>
              <w:t>Ministerstwo wiodące</w:t>
            </w:r>
            <w:r w:rsidR="00AF626C" w:rsidRPr="004E0F02">
              <w:rPr>
                <w:b/>
                <w:sz w:val="22"/>
                <w:szCs w:val="22"/>
              </w:rPr>
              <w:t xml:space="preserve"> i </w:t>
            </w:r>
            <w:r w:rsidRPr="004E0F02">
              <w:rPr>
                <w:b/>
                <w:sz w:val="22"/>
                <w:szCs w:val="22"/>
              </w:rPr>
              <w:t>ministerstwa współpracujące</w:t>
            </w:r>
          </w:p>
          <w:bookmarkEnd w:id="1"/>
          <w:p w14:paraId="4C150250" w14:textId="1FC3009E" w:rsidR="00CE2D18" w:rsidRPr="004E0F02" w:rsidRDefault="005741D6" w:rsidP="009A0D0F">
            <w:pPr>
              <w:spacing w:line="240" w:lineRule="auto"/>
            </w:pPr>
            <w:r w:rsidRPr="004E0F02">
              <w:rPr>
                <w:sz w:val="22"/>
                <w:szCs w:val="22"/>
              </w:rPr>
              <w:t>Kancelaria Prezesa Rady Ministrów</w:t>
            </w:r>
          </w:p>
          <w:p w14:paraId="5D0681FD" w14:textId="77777777" w:rsidR="00CE2D18" w:rsidRPr="004E0F02" w:rsidRDefault="00CE2D18" w:rsidP="009A0D0F">
            <w:pPr>
              <w:spacing w:line="240" w:lineRule="auto"/>
              <w:rPr>
                <w:b/>
                <w:sz w:val="21"/>
                <w:szCs w:val="21"/>
              </w:rPr>
            </w:pPr>
            <w:r w:rsidRPr="004E0F02">
              <w:rPr>
                <w:b/>
                <w:sz w:val="21"/>
                <w:szCs w:val="24"/>
              </w:rPr>
              <w:t>Osoba odpowiedzialna za projekt</w:t>
            </w:r>
            <w:r w:rsidR="00AF626C" w:rsidRPr="004E0F02">
              <w:rPr>
                <w:b/>
                <w:sz w:val="21"/>
                <w:szCs w:val="24"/>
              </w:rPr>
              <w:t xml:space="preserve"> w </w:t>
            </w:r>
            <w:r w:rsidRPr="004E0F02">
              <w:rPr>
                <w:b/>
                <w:sz w:val="21"/>
                <w:szCs w:val="24"/>
              </w:rPr>
              <w:t>randze Ministra, Sekretarza Stanu lub Podsekretarza Stanu</w:t>
            </w:r>
            <w:r w:rsidRPr="004E0F02">
              <w:rPr>
                <w:b/>
                <w:sz w:val="21"/>
                <w:szCs w:val="21"/>
              </w:rPr>
              <w:t xml:space="preserve"> </w:t>
            </w:r>
          </w:p>
          <w:p w14:paraId="5DB5B953" w14:textId="42125E2D" w:rsidR="00CE2D18" w:rsidRPr="004E0F02" w:rsidRDefault="00584FC1" w:rsidP="009A0D0F">
            <w:pPr>
              <w:spacing w:line="240" w:lineRule="auto"/>
              <w:rPr>
                <w:sz w:val="21"/>
                <w:szCs w:val="21"/>
              </w:rPr>
            </w:pPr>
            <w:r w:rsidRPr="004E0F02">
              <w:rPr>
                <w:sz w:val="21"/>
                <w:szCs w:val="21"/>
              </w:rPr>
              <w:t>Adam Andruszkiewicz</w:t>
            </w:r>
            <w:r w:rsidR="00CE2D18" w:rsidRPr="004E0F02">
              <w:rPr>
                <w:sz w:val="21"/>
                <w:szCs w:val="21"/>
              </w:rPr>
              <w:t xml:space="preserve"> – </w:t>
            </w:r>
            <w:r w:rsidR="005741D6" w:rsidRPr="004E0F02">
              <w:rPr>
                <w:sz w:val="21"/>
                <w:szCs w:val="21"/>
              </w:rPr>
              <w:t>Sekretarz Stanu</w:t>
            </w:r>
          </w:p>
          <w:p w14:paraId="1F938D01" w14:textId="77777777" w:rsidR="00CE2D18" w:rsidRPr="004E0F02" w:rsidRDefault="00CE2D18" w:rsidP="009A0D0F">
            <w:pPr>
              <w:spacing w:before="120" w:line="240" w:lineRule="auto"/>
              <w:rPr>
                <w:b/>
                <w:sz w:val="22"/>
                <w:szCs w:val="22"/>
              </w:rPr>
            </w:pPr>
            <w:r w:rsidRPr="004E0F02">
              <w:rPr>
                <w:b/>
                <w:sz w:val="22"/>
                <w:szCs w:val="22"/>
              </w:rPr>
              <w:t>Kontakt do opiekuna merytorycznego projektu</w:t>
            </w:r>
          </w:p>
          <w:p w14:paraId="7A952FC2" w14:textId="77777777" w:rsidR="00CE2D18" w:rsidRPr="004E0F02" w:rsidRDefault="00CE2D18" w:rsidP="009A0D0F">
            <w:pPr>
              <w:spacing w:line="240" w:lineRule="auto"/>
              <w:rPr>
                <w:sz w:val="22"/>
                <w:szCs w:val="22"/>
              </w:rPr>
            </w:pPr>
            <w:r w:rsidRPr="004E0F02">
              <w:rPr>
                <w:sz w:val="22"/>
                <w:szCs w:val="22"/>
              </w:rPr>
              <w:t>Dominik Sybilski – Naczelnik Wydziału Regulacji Wykorzystywania i Wymiany Danych</w:t>
            </w:r>
            <w:r w:rsidR="00AF626C" w:rsidRPr="004E0F02">
              <w:rPr>
                <w:sz w:val="22"/>
                <w:szCs w:val="22"/>
              </w:rPr>
              <w:t xml:space="preserve"> w </w:t>
            </w:r>
            <w:r w:rsidRPr="004E0F02">
              <w:rPr>
                <w:sz w:val="22"/>
                <w:szCs w:val="22"/>
              </w:rPr>
              <w:t>Departamencie Zarządzania Danymi</w:t>
            </w:r>
          </w:p>
          <w:p w14:paraId="485621DB" w14:textId="77777777" w:rsidR="00CE2D18" w:rsidRPr="004E0F02" w:rsidRDefault="00CE2D18" w:rsidP="009A0D0F">
            <w:pPr>
              <w:spacing w:line="240" w:lineRule="auto"/>
              <w:rPr>
                <w:sz w:val="22"/>
                <w:szCs w:val="22"/>
                <w:lang w:val="en-US"/>
              </w:rPr>
            </w:pPr>
            <w:r w:rsidRPr="004E0F02">
              <w:rPr>
                <w:sz w:val="22"/>
                <w:szCs w:val="22"/>
                <w:lang w:val="en-US"/>
              </w:rPr>
              <w:t>Tel.: 22 24</w:t>
            </w:r>
            <w:r w:rsidR="00AF626C" w:rsidRPr="004E0F02">
              <w:rPr>
                <w:sz w:val="22"/>
                <w:szCs w:val="22"/>
                <w:lang w:val="en-US"/>
              </w:rPr>
              <w:t>5 </w:t>
            </w:r>
            <w:r w:rsidRPr="004E0F02">
              <w:rPr>
                <w:sz w:val="22"/>
                <w:szCs w:val="22"/>
                <w:lang w:val="en-US"/>
              </w:rPr>
              <w:t>5</w:t>
            </w:r>
            <w:r w:rsidR="00AF626C" w:rsidRPr="004E0F02">
              <w:rPr>
                <w:sz w:val="22"/>
                <w:szCs w:val="22"/>
                <w:lang w:val="en-US"/>
              </w:rPr>
              <w:t>5 </w:t>
            </w:r>
            <w:r w:rsidRPr="004E0F02">
              <w:rPr>
                <w:sz w:val="22"/>
                <w:szCs w:val="22"/>
                <w:lang w:val="en-US"/>
              </w:rPr>
              <w:t>71</w:t>
            </w:r>
          </w:p>
          <w:p w14:paraId="2B5DBC7B" w14:textId="77777777" w:rsidR="00CE2D18" w:rsidRPr="004E0F02" w:rsidRDefault="00CE2D18" w:rsidP="009A0D0F">
            <w:pPr>
              <w:spacing w:line="240" w:lineRule="auto"/>
              <w:rPr>
                <w:rStyle w:val="Hipercze"/>
                <w:color w:val="auto"/>
                <w:sz w:val="22"/>
                <w:szCs w:val="22"/>
                <w:lang w:val="en-US"/>
              </w:rPr>
            </w:pPr>
            <w:r w:rsidRPr="004E0F02">
              <w:rPr>
                <w:rStyle w:val="Hipercze"/>
                <w:color w:val="auto"/>
                <w:sz w:val="22"/>
                <w:szCs w:val="22"/>
                <w:lang w:val="en-US"/>
              </w:rPr>
              <w:t xml:space="preserve">Mail: </w:t>
            </w:r>
            <w:hyperlink r:id="rId11" w:history="1">
              <w:r w:rsidRPr="004E0F02">
                <w:rPr>
                  <w:rStyle w:val="Hipercze"/>
                  <w:color w:val="auto"/>
                  <w:sz w:val="22"/>
                  <w:szCs w:val="22"/>
                  <w:lang w:val="en-US"/>
                </w:rPr>
                <w:t>dominik.sybilski@mc.gov.pl</w:t>
              </w:r>
            </w:hyperlink>
          </w:p>
          <w:p w14:paraId="46148011" w14:textId="77777777" w:rsidR="00CE2D18" w:rsidRPr="004E0F02" w:rsidRDefault="00CE2D18" w:rsidP="009A0D0F">
            <w:pPr>
              <w:spacing w:line="240" w:lineRule="auto"/>
              <w:rPr>
                <w:sz w:val="22"/>
                <w:szCs w:val="22"/>
                <w:lang w:val="en-US"/>
              </w:rPr>
            </w:pPr>
          </w:p>
          <w:p w14:paraId="1B81EDA9" w14:textId="77777777" w:rsidR="00CE2D18" w:rsidRPr="004E0F02" w:rsidRDefault="00CE2D18" w:rsidP="009A0D0F">
            <w:pPr>
              <w:spacing w:line="240" w:lineRule="auto"/>
              <w:rPr>
                <w:sz w:val="22"/>
                <w:szCs w:val="22"/>
              </w:rPr>
            </w:pPr>
            <w:r w:rsidRPr="004E0F02">
              <w:rPr>
                <w:sz w:val="22"/>
                <w:szCs w:val="22"/>
              </w:rPr>
              <w:t>Mikołaj Garstka – główny specjalista</w:t>
            </w:r>
            <w:r w:rsidR="00AF626C" w:rsidRPr="004E0F02">
              <w:rPr>
                <w:sz w:val="22"/>
                <w:szCs w:val="22"/>
              </w:rPr>
              <w:t xml:space="preserve"> w </w:t>
            </w:r>
            <w:r w:rsidRPr="004E0F02">
              <w:rPr>
                <w:sz w:val="22"/>
                <w:szCs w:val="22"/>
              </w:rPr>
              <w:t xml:space="preserve">Departamencie Zarządzania Danymi </w:t>
            </w:r>
          </w:p>
          <w:p w14:paraId="62872BEF" w14:textId="77777777" w:rsidR="00CE2D18" w:rsidRPr="004E0F02" w:rsidRDefault="00CE2D18" w:rsidP="009A0D0F">
            <w:pPr>
              <w:spacing w:line="240" w:lineRule="auto"/>
              <w:rPr>
                <w:sz w:val="22"/>
                <w:szCs w:val="22"/>
                <w:lang w:val="en-GB"/>
              </w:rPr>
            </w:pPr>
            <w:r w:rsidRPr="004E0F02">
              <w:rPr>
                <w:sz w:val="22"/>
                <w:szCs w:val="22"/>
                <w:lang w:val="en-GB"/>
              </w:rPr>
              <w:t>Tel.: 2</w:t>
            </w:r>
            <w:r w:rsidR="00AF626C" w:rsidRPr="004E0F02">
              <w:rPr>
                <w:sz w:val="22"/>
                <w:szCs w:val="22"/>
                <w:lang w:val="en-GB"/>
              </w:rPr>
              <w:t>2 </w:t>
            </w:r>
            <w:r w:rsidRPr="004E0F02">
              <w:rPr>
                <w:sz w:val="22"/>
                <w:szCs w:val="22"/>
                <w:lang w:val="en-GB"/>
              </w:rPr>
              <w:t>55</w:t>
            </w:r>
            <w:r w:rsidR="00AF626C" w:rsidRPr="004E0F02">
              <w:rPr>
                <w:sz w:val="22"/>
                <w:szCs w:val="22"/>
                <w:lang w:val="en-GB"/>
              </w:rPr>
              <w:t>6 </w:t>
            </w:r>
            <w:r w:rsidRPr="004E0F02">
              <w:rPr>
                <w:sz w:val="22"/>
                <w:szCs w:val="22"/>
                <w:lang w:val="en-GB"/>
              </w:rPr>
              <w:t>8</w:t>
            </w:r>
            <w:r w:rsidR="00AF626C" w:rsidRPr="004E0F02">
              <w:rPr>
                <w:sz w:val="22"/>
                <w:szCs w:val="22"/>
                <w:lang w:val="en-GB"/>
              </w:rPr>
              <w:t>4 </w:t>
            </w:r>
            <w:r w:rsidRPr="004E0F02">
              <w:rPr>
                <w:sz w:val="22"/>
                <w:szCs w:val="22"/>
                <w:lang w:val="en-GB"/>
              </w:rPr>
              <w:t>0</w:t>
            </w:r>
            <w:r w:rsidR="00AF626C" w:rsidRPr="004E0F02">
              <w:rPr>
                <w:sz w:val="22"/>
                <w:szCs w:val="22"/>
                <w:lang w:val="en-GB"/>
              </w:rPr>
              <w:t>5 </w:t>
            </w:r>
          </w:p>
          <w:p w14:paraId="76AD4ADC" w14:textId="77777777" w:rsidR="00CE2D18" w:rsidRPr="004E0F02" w:rsidRDefault="00CE2D18" w:rsidP="009A0D0F">
            <w:pPr>
              <w:spacing w:line="240" w:lineRule="auto"/>
              <w:rPr>
                <w:lang w:val="en-GB"/>
              </w:rPr>
            </w:pPr>
            <w:r w:rsidRPr="004E0F02">
              <w:rPr>
                <w:sz w:val="22"/>
                <w:szCs w:val="22"/>
                <w:lang w:val="en-GB"/>
              </w:rPr>
              <w:t xml:space="preserve">Mail: </w:t>
            </w:r>
            <w:hyperlink r:id="rId12" w:history="1">
              <w:r w:rsidRPr="004E0F02">
                <w:rPr>
                  <w:rStyle w:val="Hipercze"/>
                  <w:color w:val="auto"/>
                  <w:sz w:val="22"/>
                  <w:szCs w:val="22"/>
                  <w:lang w:val="en-GB"/>
                </w:rPr>
                <w:t>mikolaj.garstka@mc.gov.pl</w:t>
              </w:r>
            </w:hyperlink>
          </w:p>
        </w:tc>
        <w:tc>
          <w:tcPr>
            <w:tcW w:w="1750" w:type="pct"/>
            <w:gridSpan w:val="10"/>
            <w:shd w:val="clear" w:color="auto" w:fill="FFFFFF"/>
          </w:tcPr>
          <w:p w14:paraId="711DCE5C" w14:textId="4AA5D99A" w:rsidR="00CE2D18" w:rsidRPr="004E0F02" w:rsidRDefault="00CE2D18" w:rsidP="009A0D0F">
            <w:pPr>
              <w:spacing w:line="240" w:lineRule="auto"/>
              <w:rPr>
                <w:b/>
                <w:sz w:val="21"/>
                <w:szCs w:val="21"/>
              </w:rPr>
            </w:pPr>
            <w:r w:rsidRPr="004E0F02">
              <w:rPr>
                <w:b/>
                <w:sz w:val="21"/>
                <w:szCs w:val="21"/>
              </w:rPr>
              <w:t>Data sporządzenia</w:t>
            </w:r>
            <w:r w:rsidRPr="004E0F02">
              <w:rPr>
                <w:b/>
                <w:sz w:val="21"/>
                <w:szCs w:val="21"/>
              </w:rPr>
              <w:br/>
            </w:r>
            <w:sdt>
              <w:sdtPr>
                <w:rPr>
                  <w:b/>
                  <w:sz w:val="21"/>
                  <w:szCs w:val="21"/>
                </w:rPr>
                <w:id w:val="-345788683"/>
                <w:placeholder>
                  <w:docPart w:val="850F596790F340F69E9F28CBCC8D36EB"/>
                </w:placeholder>
                <w:date w:fullDate="2020-12-31T00:00:00Z">
                  <w:dateFormat w:val="dd.MM.yyyy"/>
                  <w:lid w:val="pl-PL"/>
                  <w:storeMappedDataAs w:val="dateTime"/>
                  <w:calendar w:val="gregorian"/>
                </w:date>
              </w:sdtPr>
              <w:sdtEndPr/>
              <w:sdtContent>
                <w:r w:rsidR="005E571A">
                  <w:rPr>
                    <w:b/>
                    <w:sz w:val="21"/>
                    <w:szCs w:val="21"/>
                  </w:rPr>
                  <w:t>31.12.2020</w:t>
                </w:r>
              </w:sdtContent>
            </w:sdt>
          </w:p>
          <w:p w14:paraId="1F8283C1" w14:textId="77777777" w:rsidR="00CE2D18" w:rsidRPr="004E0F02" w:rsidRDefault="00CE2D18" w:rsidP="009A0D0F">
            <w:pPr>
              <w:spacing w:line="240" w:lineRule="auto"/>
              <w:rPr>
                <w:b/>
              </w:rPr>
            </w:pPr>
          </w:p>
          <w:p w14:paraId="6D053EFB" w14:textId="77777777" w:rsidR="00CE2D18" w:rsidRPr="004E0F02" w:rsidRDefault="00CE2D18" w:rsidP="009A0D0F">
            <w:pPr>
              <w:spacing w:line="240" w:lineRule="auto"/>
              <w:rPr>
                <w:b/>
                <w:sz w:val="22"/>
                <w:szCs w:val="22"/>
              </w:rPr>
            </w:pPr>
            <w:r w:rsidRPr="004E0F02">
              <w:rPr>
                <w:b/>
                <w:sz w:val="22"/>
                <w:szCs w:val="22"/>
              </w:rPr>
              <w:t xml:space="preserve">Źródło: </w:t>
            </w:r>
            <w:bookmarkStart w:id="2" w:name="Lista1"/>
          </w:p>
          <w:bookmarkEnd w:id="2" w:displacedByCustomXml="next"/>
          <w:sdt>
            <w:sdtPr>
              <w:rPr>
                <w:sz w:val="22"/>
                <w:szCs w:val="22"/>
              </w:rPr>
              <w:id w:val="-1451614635"/>
              <w:placeholder>
                <w:docPart w:val="EFA59FA1B4464F6A9DA0BED694F89364"/>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7D4E020A" w14:textId="083CC642" w:rsidR="00CE2D18" w:rsidRPr="004E0F02" w:rsidRDefault="00CE2D18" w:rsidP="009A0D0F">
                <w:pPr>
                  <w:spacing w:line="240" w:lineRule="auto"/>
                  <w:rPr>
                    <w:sz w:val="22"/>
                    <w:szCs w:val="22"/>
                  </w:rPr>
                </w:pPr>
                <w:r w:rsidRPr="004E0F02">
                  <w:rPr>
                    <w:sz w:val="22"/>
                    <w:szCs w:val="22"/>
                  </w:rPr>
                  <w:t>Prawo UE</w:t>
                </w:r>
              </w:p>
            </w:sdtContent>
          </w:sdt>
          <w:p w14:paraId="34B13856" w14:textId="1D5546E9" w:rsidR="00CE2D18" w:rsidRPr="004E0F02" w:rsidRDefault="00CE2D18" w:rsidP="009A0D0F">
            <w:pPr>
              <w:spacing w:line="240" w:lineRule="auto"/>
              <w:rPr>
                <w:sz w:val="22"/>
                <w:szCs w:val="22"/>
              </w:rPr>
            </w:pPr>
            <w:r w:rsidRPr="004E0F02">
              <w:rPr>
                <w:sz w:val="22"/>
                <w:szCs w:val="22"/>
              </w:rPr>
              <w:t>Dyrektywa Parlamentu Europejskiego</w:t>
            </w:r>
            <w:r w:rsidR="00AF626C" w:rsidRPr="004E0F02">
              <w:rPr>
                <w:sz w:val="22"/>
                <w:szCs w:val="22"/>
              </w:rPr>
              <w:t xml:space="preserve"> i </w:t>
            </w:r>
            <w:r w:rsidRPr="004E0F02">
              <w:rPr>
                <w:sz w:val="22"/>
                <w:szCs w:val="22"/>
              </w:rPr>
              <w:t>Rady (UE) 2019/102</w:t>
            </w:r>
            <w:r w:rsidR="00AF626C" w:rsidRPr="004E0F02">
              <w:rPr>
                <w:sz w:val="22"/>
                <w:szCs w:val="22"/>
              </w:rPr>
              <w:t>4 z </w:t>
            </w:r>
            <w:r w:rsidRPr="004E0F02">
              <w:rPr>
                <w:sz w:val="22"/>
                <w:szCs w:val="22"/>
              </w:rPr>
              <w:t>dnia 2</w:t>
            </w:r>
            <w:r w:rsidR="00AF626C" w:rsidRPr="004E0F02">
              <w:rPr>
                <w:sz w:val="22"/>
                <w:szCs w:val="22"/>
              </w:rPr>
              <w:t>0 </w:t>
            </w:r>
            <w:r w:rsidRPr="004E0F02">
              <w:rPr>
                <w:sz w:val="22"/>
                <w:szCs w:val="22"/>
              </w:rPr>
              <w:t>czerwca 201</w:t>
            </w:r>
            <w:r w:rsidR="00AF626C" w:rsidRPr="004E0F02">
              <w:rPr>
                <w:sz w:val="22"/>
                <w:szCs w:val="22"/>
              </w:rPr>
              <w:t>9 </w:t>
            </w:r>
            <w:r w:rsidRPr="004E0F02">
              <w:rPr>
                <w:sz w:val="22"/>
                <w:szCs w:val="22"/>
              </w:rPr>
              <w:t>r.</w:t>
            </w:r>
            <w:r w:rsidR="00AF626C" w:rsidRPr="004E0F02">
              <w:rPr>
                <w:sz w:val="22"/>
                <w:szCs w:val="22"/>
              </w:rPr>
              <w:t xml:space="preserve"> w </w:t>
            </w:r>
            <w:r w:rsidRPr="004E0F02">
              <w:rPr>
                <w:sz w:val="22"/>
                <w:szCs w:val="22"/>
              </w:rPr>
              <w:t>sprawie otwartych danych</w:t>
            </w:r>
            <w:r w:rsidR="00AF626C" w:rsidRPr="004E0F02">
              <w:rPr>
                <w:sz w:val="22"/>
                <w:szCs w:val="22"/>
              </w:rPr>
              <w:t xml:space="preserve"> i </w:t>
            </w:r>
            <w:r w:rsidRPr="004E0F02">
              <w:rPr>
                <w:sz w:val="22"/>
                <w:szCs w:val="22"/>
              </w:rPr>
              <w:t>ponownego wykorzystywania informacji sektora publicznego (Dz. Urz. UE L 17</w:t>
            </w:r>
            <w:r w:rsidR="00AF626C" w:rsidRPr="004E0F02">
              <w:rPr>
                <w:sz w:val="22"/>
                <w:szCs w:val="22"/>
              </w:rPr>
              <w:t>2 z </w:t>
            </w:r>
            <w:r w:rsidRPr="004E0F02">
              <w:rPr>
                <w:sz w:val="22"/>
                <w:szCs w:val="22"/>
              </w:rPr>
              <w:t>dnia 26.06.201</w:t>
            </w:r>
            <w:r w:rsidR="00AF626C" w:rsidRPr="004E0F02">
              <w:rPr>
                <w:sz w:val="22"/>
                <w:szCs w:val="22"/>
              </w:rPr>
              <w:t>9</w:t>
            </w:r>
            <w:r w:rsidRPr="004E0F02">
              <w:rPr>
                <w:sz w:val="22"/>
                <w:szCs w:val="22"/>
              </w:rPr>
              <w:t>, s</w:t>
            </w:r>
            <w:r w:rsidR="00D5498E" w:rsidRPr="004E0F02">
              <w:rPr>
                <w:sz w:val="22"/>
                <w:szCs w:val="22"/>
              </w:rPr>
              <w:t>tr</w:t>
            </w:r>
            <w:r w:rsidRPr="004E0F02">
              <w:rPr>
                <w:sz w:val="22"/>
                <w:szCs w:val="22"/>
              </w:rPr>
              <w:t>. 56)</w:t>
            </w:r>
          </w:p>
          <w:p w14:paraId="0DCB1B14" w14:textId="77777777" w:rsidR="00CE2D18" w:rsidRPr="004E0F02" w:rsidRDefault="00CE2D18" w:rsidP="009A0D0F">
            <w:pPr>
              <w:spacing w:line="240" w:lineRule="auto"/>
            </w:pPr>
          </w:p>
          <w:p w14:paraId="43DA8DF4" w14:textId="77777777" w:rsidR="00CE2D18" w:rsidRPr="004E0F02" w:rsidRDefault="00CE2D18" w:rsidP="009A0D0F">
            <w:pPr>
              <w:spacing w:before="120" w:line="240" w:lineRule="auto"/>
              <w:rPr>
                <w:b/>
                <w:sz w:val="22"/>
                <w:szCs w:val="22"/>
              </w:rPr>
            </w:pPr>
            <w:r w:rsidRPr="004E0F02">
              <w:rPr>
                <w:b/>
                <w:sz w:val="22"/>
                <w:szCs w:val="22"/>
              </w:rPr>
              <w:t>Nr</w:t>
            </w:r>
            <w:r w:rsidR="00AF626C" w:rsidRPr="004E0F02">
              <w:rPr>
                <w:b/>
                <w:sz w:val="22"/>
                <w:szCs w:val="22"/>
              </w:rPr>
              <w:t xml:space="preserve"> w </w:t>
            </w:r>
            <w:r w:rsidRPr="004E0F02">
              <w:rPr>
                <w:b/>
                <w:sz w:val="22"/>
                <w:szCs w:val="22"/>
              </w:rPr>
              <w:t xml:space="preserve">wykazie prac </w:t>
            </w:r>
          </w:p>
          <w:p w14:paraId="3284B29E" w14:textId="217B39CE" w:rsidR="00CE2D18" w:rsidRPr="004E0F02" w:rsidRDefault="00B131AC" w:rsidP="009A0D0F">
            <w:pPr>
              <w:spacing w:line="240" w:lineRule="auto"/>
              <w:rPr>
                <w:sz w:val="28"/>
                <w:szCs w:val="28"/>
              </w:rPr>
            </w:pPr>
            <w:r w:rsidRPr="004E0F02">
              <w:rPr>
                <w:b/>
                <w:sz w:val="22"/>
                <w:szCs w:val="22"/>
              </w:rPr>
              <w:t>UC4</w:t>
            </w:r>
            <w:r w:rsidR="00E45B1D" w:rsidRPr="004E0F02">
              <w:rPr>
                <w:b/>
                <w:sz w:val="22"/>
                <w:szCs w:val="22"/>
              </w:rPr>
              <w:t>7 </w:t>
            </w:r>
          </w:p>
        </w:tc>
      </w:tr>
      <w:tr w:rsidR="00CE2D18" w:rsidRPr="004E0F02" w14:paraId="0F14CDF7" w14:textId="77777777" w:rsidTr="0001659E">
        <w:trPr>
          <w:trHeight w:val="142"/>
        </w:trPr>
        <w:tc>
          <w:tcPr>
            <w:tcW w:w="5000" w:type="pct"/>
            <w:gridSpan w:val="27"/>
            <w:shd w:val="clear" w:color="auto" w:fill="99CCFF"/>
          </w:tcPr>
          <w:p w14:paraId="4FFF455D" w14:textId="77777777" w:rsidR="00CE2D18" w:rsidRPr="004E0F02" w:rsidRDefault="00CE2D18" w:rsidP="009A0D0F">
            <w:pPr>
              <w:spacing w:line="240" w:lineRule="auto"/>
              <w:ind w:left="57"/>
              <w:jc w:val="center"/>
              <w:rPr>
                <w:b/>
                <w:sz w:val="32"/>
                <w:szCs w:val="32"/>
              </w:rPr>
            </w:pPr>
            <w:r w:rsidRPr="004E0F02">
              <w:rPr>
                <w:b/>
                <w:sz w:val="32"/>
                <w:szCs w:val="32"/>
              </w:rPr>
              <w:t>OCENA SKUTKÓW REGULACJI</w:t>
            </w:r>
          </w:p>
        </w:tc>
      </w:tr>
      <w:tr w:rsidR="00CE2D18" w:rsidRPr="004E0F02" w14:paraId="03806CFB" w14:textId="77777777" w:rsidTr="0001659E">
        <w:trPr>
          <w:trHeight w:val="333"/>
        </w:trPr>
        <w:tc>
          <w:tcPr>
            <w:tcW w:w="5000" w:type="pct"/>
            <w:gridSpan w:val="27"/>
            <w:shd w:val="clear" w:color="auto" w:fill="99CCFF"/>
            <w:vAlign w:val="center"/>
          </w:tcPr>
          <w:p w14:paraId="2C2E33A8" w14:textId="77777777" w:rsidR="00CE2D18" w:rsidRPr="004E0F02" w:rsidRDefault="00CE2D18" w:rsidP="009346F9">
            <w:pPr>
              <w:widowControl/>
              <w:numPr>
                <w:ilvl w:val="0"/>
                <w:numId w:val="1"/>
              </w:numPr>
              <w:autoSpaceDE/>
              <w:autoSpaceDN/>
              <w:adjustRightInd/>
              <w:spacing w:before="60" w:after="60" w:line="240" w:lineRule="auto"/>
              <w:ind w:left="318" w:hanging="284"/>
              <w:jc w:val="both"/>
              <w:rPr>
                <w:b/>
              </w:rPr>
            </w:pPr>
            <w:r w:rsidRPr="004E0F02">
              <w:rPr>
                <w:b/>
              </w:rPr>
              <w:t>Jaki problem jest rozwiązywany?</w:t>
            </w:r>
            <w:bookmarkStart w:id="3" w:name="Wybór1"/>
            <w:bookmarkEnd w:id="3"/>
          </w:p>
        </w:tc>
      </w:tr>
      <w:tr w:rsidR="00CE2D18" w:rsidRPr="004E0F02" w14:paraId="7101B1CC" w14:textId="77777777" w:rsidTr="0001659E">
        <w:trPr>
          <w:trHeight w:val="142"/>
        </w:trPr>
        <w:tc>
          <w:tcPr>
            <w:tcW w:w="5000" w:type="pct"/>
            <w:gridSpan w:val="27"/>
            <w:shd w:val="clear" w:color="auto" w:fill="FFFFFF"/>
          </w:tcPr>
          <w:p w14:paraId="70E18E74" w14:textId="77777777" w:rsidR="00CE2D18" w:rsidRPr="004E0F02" w:rsidRDefault="00CE2D18" w:rsidP="009A0D0F">
            <w:pPr>
              <w:spacing w:line="240" w:lineRule="auto"/>
              <w:jc w:val="both"/>
            </w:pPr>
            <w:r w:rsidRPr="004E0F02">
              <w:t>Głównym celem ustawy będzie zwiększenie podaży otwartych danych</w:t>
            </w:r>
            <w:r w:rsidR="00AF626C" w:rsidRPr="004E0F02">
              <w:t xml:space="preserve"> i </w:t>
            </w:r>
            <w:r w:rsidRPr="004E0F02">
              <w:t xml:space="preserve">stworzenie optymalnego otoczenia regulacyjnego dla efektywnego wykorzystywania informacji sektora publicznego. </w:t>
            </w:r>
          </w:p>
          <w:p w14:paraId="1822FDF7" w14:textId="48440624" w:rsidR="00CE2D18" w:rsidRPr="004E0F02" w:rsidRDefault="00CE2D18" w:rsidP="009A0D0F">
            <w:pPr>
              <w:spacing w:line="240" w:lineRule="auto"/>
              <w:jc w:val="both"/>
            </w:pPr>
            <w:r w:rsidRPr="004E0F02">
              <w:t>Potrzeba uchwalenia ustawy</w:t>
            </w:r>
            <w:r w:rsidR="00AF626C" w:rsidRPr="004E0F02">
              <w:t xml:space="preserve"> o </w:t>
            </w:r>
            <w:r w:rsidRPr="004E0F02">
              <w:t>otwartych danych</w:t>
            </w:r>
            <w:r w:rsidR="00AF626C" w:rsidRPr="004E0F02">
              <w:t xml:space="preserve"> i </w:t>
            </w:r>
            <w:r w:rsidRPr="004E0F02">
              <w:t>ponownym wykorzystywaniu informacji sektora publicznego wynika z konieczności implementacji dyrektywy Parlamentu Europejskiego</w:t>
            </w:r>
            <w:r w:rsidR="00AF626C" w:rsidRPr="004E0F02">
              <w:t xml:space="preserve"> i </w:t>
            </w:r>
            <w:r w:rsidRPr="004E0F02">
              <w:t>Rady (UE) 2019/102</w:t>
            </w:r>
            <w:r w:rsidR="00AF626C" w:rsidRPr="004E0F02">
              <w:t>4 z </w:t>
            </w:r>
            <w:r w:rsidRPr="004E0F02">
              <w:t>dnia 2</w:t>
            </w:r>
            <w:r w:rsidR="00AF626C" w:rsidRPr="004E0F02">
              <w:t>0 </w:t>
            </w:r>
            <w:r w:rsidRPr="004E0F02">
              <w:t>czerwca 201</w:t>
            </w:r>
            <w:r w:rsidR="00AF626C" w:rsidRPr="004E0F02">
              <w:t>9 </w:t>
            </w:r>
            <w:r w:rsidRPr="004E0F02">
              <w:t>r. w sprawie otwartych danych</w:t>
            </w:r>
            <w:r w:rsidR="00AF626C" w:rsidRPr="004E0F02">
              <w:t xml:space="preserve"> i </w:t>
            </w:r>
            <w:r w:rsidRPr="004E0F02">
              <w:t>ponownego wykorzystywania informacji sektora publicznego (Dz. Urz. UE L 17</w:t>
            </w:r>
            <w:r w:rsidR="00AF626C" w:rsidRPr="004E0F02">
              <w:t>2 z </w:t>
            </w:r>
            <w:r w:rsidRPr="004E0F02">
              <w:t xml:space="preserve"> 26.06.201</w:t>
            </w:r>
            <w:r w:rsidR="00AF626C" w:rsidRPr="004E0F02">
              <w:t>9</w:t>
            </w:r>
            <w:r w:rsidRPr="004E0F02">
              <w:t>, s</w:t>
            </w:r>
            <w:r w:rsidR="00D5498E" w:rsidRPr="004E0F02">
              <w:t>tr</w:t>
            </w:r>
            <w:r w:rsidRPr="004E0F02">
              <w:t xml:space="preserve">. 56), zwana dalej </w:t>
            </w:r>
            <w:r w:rsidR="00E45B1D" w:rsidRPr="004E0F02">
              <w:t>„</w:t>
            </w:r>
            <w:r w:rsidRPr="004E0F02">
              <w:t>dyrektywą 2019/1024</w:t>
            </w:r>
            <w:r w:rsidR="00AF626C" w:rsidRPr="004E0F02">
              <w:t>/UE</w:t>
            </w:r>
            <w:r w:rsidR="00E45B1D" w:rsidRPr="004E0F02">
              <w:t>”</w:t>
            </w:r>
            <w:r w:rsidRPr="004E0F02">
              <w:t xml:space="preserve">. Niniejsza dyrektywa zastąpi dyrektywę </w:t>
            </w:r>
            <w:r w:rsidR="00E651D1" w:rsidRPr="004E0F02">
              <w:t>2003/98/WE Parlamentu Europejskiego i Rady z dnia 17 listopada 2003 r. w sprawie ponownego wykorzystywania informacji sektora publicznego (Dz. Urz. UE L 345 z 31.12.2003, str. 90) zmienioną dyrektywą Parlamentu Europejskiego i Rady 2013/37/UE z dnia z dnia 26 czerwca 2013 r. zmieniająca dyrektywę 2003/98/WE w sprawie ponownego wykorzystywania informacji sektora publicznego  (Dz. Urz. UE L 175 z 27.06.2013, str. 1)</w:t>
            </w:r>
            <w:r w:rsidRPr="004E0F02">
              <w:t>,</w:t>
            </w:r>
            <w:r w:rsidR="00AF626C" w:rsidRPr="004E0F02">
              <w:t xml:space="preserve"> a </w:t>
            </w:r>
            <w:r w:rsidRPr="004E0F02">
              <w:t>na jej wdrożenie państwa członkowskie mają czas do dnia 1</w:t>
            </w:r>
            <w:r w:rsidR="00AF626C" w:rsidRPr="004E0F02">
              <w:t>7 </w:t>
            </w:r>
            <w:r w:rsidRPr="004E0F02">
              <w:t>lipca 202</w:t>
            </w:r>
            <w:r w:rsidR="00AF626C" w:rsidRPr="004E0F02">
              <w:t>1 </w:t>
            </w:r>
            <w:r w:rsidRPr="004E0F02">
              <w:t xml:space="preserve">r. </w:t>
            </w:r>
          </w:p>
          <w:p w14:paraId="1175B018" w14:textId="77777777" w:rsidR="00CE2D18" w:rsidRPr="004E0F02" w:rsidRDefault="00CE2D18" w:rsidP="009A0D0F">
            <w:pPr>
              <w:spacing w:line="240" w:lineRule="auto"/>
              <w:jc w:val="both"/>
              <w:rPr>
                <w:vertAlign w:val="subscript"/>
              </w:rPr>
            </w:pPr>
            <w:r w:rsidRPr="004E0F02">
              <w:t>Główne elementy nowej dyrektywy opierają się na dotychczasowych przepisach</w:t>
            </w:r>
            <w:r w:rsidR="00AF626C" w:rsidRPr="004E0F02">
              <w:t xml:space="preserve"> i </w:t>
            </w:r>
            <w:r w:rsidRPr="004E0F02">
              <w:t>nie będą mieć zasadniczego wpływu na procedurę</w:t>
            </w:r>
            <w:r w:rsidR="00AF626C" w:rsidRPr="004E0F02">
              <w:t xml:space="preserve"> i </w:t>
            </w:r>
            <w:r w:rsidRPr="004E0F02">
              <w:t xml:space="preserve">zasady ponownego wykorzystywania informacji sektora publicznego. </w:t>
            </w:r>
          </w:p>
          <w:p w14:paraId="6AF14782" w14:textId="77777777" w:rsidR="00CE2D18" w:rsidRPr="004E0F02" w:rsidRDefault="00CE2D18" w:rsidP="009A0D0F">
            <w:pPr>
              <w:spacing w:line="240" w:lineRule="auto"/>
              <w:jc w:val="both"/>
            </w:pPr>
            <w:r w:rsidRPr="004E0F02">
              <w:t>Nowa dyrektywa wprowadza zmiany mające na celu zwiększenie ilości danych sektora publicznego dostępnych do ponownego wykorzystania. Najważniejsze</w:t>
            </w:r>
            <w:r w:rsidR="00AF626C" w:rsidRPr="004E0F02">
              <w:t xml:space="preserve"> z </w:t>
            </w:r>
            <w:r w:rsidRPr="004E0F02">
              <w:t xml:space="preserve">nich to: </w:t>
            </w:r>
          </w:p>
          <w:p w14:paraId="4551284F" w14:textId="2C8BB409" w:rsidR="00CE2D18" w:rsidRPr="004E0F02" w:rsidRDefault="00CE2D18" w:rsidP="009346F9">
            <w:pPr>
              <w:pStyle w:val="Akapitzlist"/>
              <w:numPr>
                <w:ilvl w:val="0"/>
                <w:numId w:val="6"/>
              </w:numPr>
              <w:spacing w:line="240" w:lineRule="auto"/>
              <w:jc w:val="both"/>
              <w:rPr>
                <w:rFonts w:ascii="Times New Roman" w:hAnsi="Times New Roman"/>
                <w:sz w:val="24"/>
                <w:szCs w:val="24"/>
              </w:rPr>
            </w:pPr>
            <w:r w:rsidRPr="004E0F02">
              <w:rPr>
                <w:rFonts w:ascii="Times New Roman" w:hAnsi="Times New Roman"/>
                <w:sz w:val="24"/>
                <w:szCs w:val="24"/>
              </w:rPr>
              <w:t>wprowadzenie kategorii danych</w:t>
            </w:r>
            <w:r w:rsidR="00AF626C" w:rsidRPr="004E0F02">
              <w:rPr>
                <w:rFonts w:ascii="Times New Roman" w:hAnsi="Times New Roman"/>
                <w:sz w:val="24"/>
                <w:szCs w:val="24"/>
              </w:rPr>
              <w:t xml:space="preserve"> o </w:t>
            </w:r>
            <w:r w:rsidRPr="004E0F02">
              <w:rPr>
                <w:rFonts w:ascii="Times New Roman" w:hAnsi="Times New Roman"/>
                <w:sz w:val="24"/>
                <w:szCs w:val="24"/>
              </w:rPr>
              <w:t>wysokiej wartości, które muszą być udostępniane co do zasady nieodpłatnie, w formacie nadającym</w:t>
            </w:r>
            <w:r w:rsidR="00B131AC" w:rsidRPr="004E0F02">
              <w:rPr>
                <w:rFonts w:ascii="Times New Roman" w:hAnsi="Times New Roman"/>
                <w:sz w:val="24"/>
                <w:szCs w:val="24"/>
              </w:rPr>
              <w:t xml:space="preserve"> się do odczytu maszynowego, za </w:t>
            </w:r>
            <w:r w:rsidRPr="004E0F02">
              <w:rPr>
                <w:rFonts w:ascii="Times New Roman" w:hAnsi="Times New Roman"/>
                <w:sz w:val="24"/>
                <w:szCs w:val="24"/>
              </w:rPr>
              <w:t>pośrednictwem interfejsów API, oraz – jeśli to możliwe – do zbiorczego pobrania. Wykaz tematycznych kategorii zbiorów</w:t>
            </w:r>
            <w:r w:rsidR="00D5498E" w:rsidRPr="004E0F02">
              <w:rPr>
                <w:rFonts w:ascii="Times New Roman" w:hAnsi="Times New Roman"/>
                <w:sz w:val="24"/>
                <w:szCs w:val="24"/>
              </w:rPr>
              <w:t xml:space="preserve"> danych</w:t>
            </w:r>
            <w:r w:rsidR="00E45B1D" w:rsidRPr="004E0F02">
              <w:rPr>
                <w:rFonts w:ascii="Times New Roman" w:hAnsi="Times New Roman"/>
                <w:sz w:val="24"/>
                <w:szCs w:val="24"/>
              </w:rPr>
              <w:t xml:space="preserve"> o </w:t>
            </w:r>
            <w:r w:rsidRPr="004E0F02">
              <w:rPr>
                <w:rFonts w:ascii="Times New Roman" w:hAnsi="Times New Roman"/>
                <w:sz w:val="24"/>
                <w:szCs w:val="24"/>
              </w:rPr>
              <w:t>wysokiej wartości stanowi załącznik do dyrektywy;</w:t>
            </w:r>
          </w:p>
          <w:p w14:paraId="55842FB2" w14:textId="77777777" w:rsidR="00CE2D18" w:rsidRPr="004E0F02" w:rsidRDefault="00CE2D18" w:rsidP="009346F9">
            <w:pPr>
              <w:pStyle w:val="Akapitzlist"/>
              <w:numPr>
                <w:ilvl w:val="0"/>
                <w:numId w:val="6"/>
              </w:numPr>
              <w:spacing w:line="240" w:lineRule="auto"/>
              <w:jc w:val="both"/>
              <w:rPr>
                <w:rFonts w:ascii="Times New Roman" w:hAnsi="Times New Roman"/>
                <w:sz w:val="24"/>
                <w:szCs w:val="24"/>
              </w:rPr>
            </w:pPr>
            <w:r w:rsidRPr="004E0F02">
              <w:rPr>
                <w:rFonts w:ascii="Times New Roman" w:hAnsi="Times New Roman"/>
                <w:sz w:val="24"/>
                <w:szCs w:val="24"/>
              </w:rPr>
              <w:lastRenderedPageBreak/>
              <w:t>zobowiązanie organów sektora publicznego do udostępniania danych dynamicznych do ponownego wykorzystywania naty</w:t>
            </w:r>
            <w:r w:rsidR="00B131AC" w:rsidRPr="004E0F02">
              <w:rPr>
                <w:rFonts w:ascii="Times New Roman" w:hAnsi="Times New Roman"/>
                <w:sz w:val="24"/>
                <w:szCs w:val="24"/>
              </w:rPr>
              <w:t>chmiast po ich zgromadzeniu, za </w:t>
            </w:r>
            <w:r w:rsidRPr="004E0F02">
              <w:rPr>
                <w:rFonts w:ascii="Times New Roman" w:hAnsi="Times New Roman"/>
                <w:sz w:val="24"/>
                <w:szCs w:val="24"/>
              </w:rPr>
              <w:t>pośrednictwem odpowiednich interfejsów API, oraz, w odpowiednich przypadkach, do zbiorczego pobrania;</w:t>
            </w:r>
          </w:p>
          <w:p w14:paraId="24E40421" w14:textId="17111BBF" w:rsidR="00CE2D18" w:rsidRPr="004E0F02" w:rsidRDefault="00CE2D18" w:rsidP="009A0D0F">
            <w:pPr>
              <w:pStyle w:val="Akapitzlist"/>
              <w:numPr>
                <w:ilvl w:val="0"/>
                <w:numId w:val="6"/>
              </w:numPr>
              <w:spacing w:line="240" w:lineRule="auto"/>
              <w:jc w:val="both"/>
              <w:rPr>
                <w:rFonts w:ascii="Times New Roman" w:hAnsi="Times New Roman"/>
                <w:sz w:val="24"/>
                <w:szCs w:val="24"/>
              </w:rPr>
            </w:pPr>
            <w:r w:rsidRPr="004E0F02">
              <w:rPr>
                <w:rFonts w:ascii="Times New Roman" w:hAnsi="Times New Roman"/>
                <w:sz w:val="24"/>
                <w:szCs w:val="24"/>
              </w:rPr>
              <w:t>rozszerzenie zakresu dyrektywy</w:t>
            </w:r>
            <w:r w:rsidR="00AF626C" w:rsidRPr="004E0F02">
              <w:rPr>
                <w:rFonts w:ascii="Times New Roman" w:hAnsi="Times New Roman"/>
                <w:sz w:val="24"/>
                <w:szCs w:val="24"/>
              </w:rPr>
              <w:t xml:space="preserve"> o </w:t>
            </w:r>
            <w:r w:rsidRPr="004E0F02">
              <w:rPr>
                <w:rFonts w:ascii="Times New Roman" w:hAnsi="Times New Roman"/>
                <w:sz w:val="24"/>
                <w:szCs w:val="24"/>
              </w:rPr>
              <w:t>dane pochodzące</w:t>
            </w:r>
            <w:r w:rsidR="00AF626C" w:rsidRPr="004E0F02">
              <w:rPr>
                <w:rFonts w:ascii="Times New Roman" w:hAnsi="Times New Roman"/>
                <w:sz w:val="24"/>
                <w:szCs w:val="24"/>
              </w:rPr>
              <w:t xml:space="preserve"> z </w:t>
            </w:r>
            <w:r w:rsidRPr="004E0F02">
              <w:rPr>
                <w:rFonts w:ascii="Times New Roman" w:hAnsi="Times New Roman"/>
                <w:sz w:val="24"/>
                <w:szCs w:val="24"/>
              </w:rPr>
              <w:t>przedsiębiorstw publicznych (przy wyłączeniu</w:t>
            </w:r>
            <w:r w:rsidR="00AF626C" w:rsidRPr="004E0F02">
              <w:rPr>
                <w:rFonts w:ascii="Times New Roman" w:hAnsi="Times New Roman"/>
                <w:sz w:val="24"/>
                <w:szCs w:val="24"/>
              </w:rPr>
              <w:t xml:space="preserve"> z </w:t>
            </w:r>
            <w:r w:rsidRPr="004E0F02">
              <w:rPr>
                <w:rFonts w:ascii="Times New Roman" w:hAnsi="Times New Roman"/>
                <w:sz w:val="24"/>
                <w:szCs w:val="24"/>
              </w:rPr>
              <w:t>szeregu obowiązków przewidzianych</w:t>
            </w:r>
            <w:r w:rsidR="00AF626C" w:rsidRPr="004E0F02">
              <w:rPr>
                <w:rFonts w:ascii="Times New Roman" w:hAnsi="Times New Roman"/>
                <w:sz w:val="24"/>
                <w:szCs w:val="24"/>
              </w:rPr>
              <w:t xml:space="preserve"> w </w:t>
            </w:r>
            <w:r w:rsidRPr="004E0F02">
              <w:rPr>
                <w:rFonts w:ascii="Times New Roman" w:hAnsi="Times New Roman"/>
                <w:sz w:val="24"/>
                <w:szCs w:val="24"/>
              </w:rPr>
              <w:t>dyrektywie) oraz</w:t>
            </w:r>
            <w:r w:rsidR="00AF626C" w:rsidRPr="004E0F02">
              <w:rPr>
                <w:rFonts w:ascii="Times New Roman" w:hAnsi="Times New Roman"/>
                <w:sz w:val="24"/>
                <w:szCs w:val="24"/>
              </w:rPr>
              <w:t xml:space="preserve"> o </w:t>
            </w:r>
            <w:r w:rsidRPr="004E0F02">
              <w:rPr>
                <w:rFonts w:ascii="Times New Roman" w:hAnsi="Times New Roman"/>
                <w:sz w:val="24"/>
                <w:szCs w:val="24"/>
              </w:rPr>
              <w:t>dane badawcze finansowane ze środków publicznych, które zostały już udostępnione przez naukowców, organizacje prowadzące badania naukowe lub organizacje finansujące badania naukowe.</w:t>
            </w:r>
          </w:p>
          <w:p w14:paraId="5C22B7D2" w14:textId="06623280" w:rsidR="00CE2D18" w:rsidRPr="004E0F02" w:rsidRDefault="00CE2D18" w:rsidP="009A0D0F">
            <w:pPr>
              <w:spacing w:line="240" w:lineRule="auto"/>
              <w:jc w:val="both"/>
            </w:pPr>
            <w:r w:rsidRPr="004E0F02">
              <w:t>Zwiększenie ilości danych sektora publicznego dostępnych do ponownego wykorzystania będzie miało szereg pozytywnych skutków dla innowacyjności gospodarki</w:t>
            </w:r>
            <w:r w:rsidR="00AF626C" w:rsidRPr="004E0F02">
              <w:t xml:space="preserve"> i </w:t>
            </w:r>
            <w:r w:rsidRPr="004E0F02">
              <w:t>jakości życia społeczeństwa. Sektor publiczny posiada</w:t>
            </w:r>
            <w:r w:rsidR="00AF626C" w:rsidRPr="004E0F02">
              <w:t xml:space="preserve"> w </w:t>
            </w:r>
            <w:r w:rsidRPr="004E0F02">
              <w:t>wielu obszarach ogromne ilości wartościowych zasobów (np. dane</w:t>
            </w:r>
            <w:r w:rsidR="00AF626C" w:rsidRPr="004E0F02">
              <w:t xml:space="preserve"> o </w:t>
            </w:r>
            <w:r w:rsidRPr="004E0F02">
              <w:t>mobilności, dane meteorologiczne, ekonomiczne czy finansowe), które mogą być następnie wykorzystywane do tworzenia nowych, innowacyjnych produktów</w:t>
            </w:r>
            <w:r w:rsidR="00AF626C" w:rsidRPr="004E0F02">
              <w:t xml:space="preserve"> i </w:t>
            </w:r>
            <w:r w:rsidRPr="004E0F02">
              <w:t>usług z korzyścią dla społeczeństwa</w:t>
            </w:r>
            <w:r w:rsidR="00AF626C" w:rsidRPr="004E0F02">
              <w:t xml:space="preserve"> i </w:t>
            </w:r>
            <w:r w:rsidRPr="004E0F02">
              <w:t xml:space="preserve">gospodarki. </w:t>
            </w:r>
          </w:p>
          <w:p w14:paraId="3AF2CDCE" w14:textId="7D0FBC49" w:rsidR="00CE2D18" w:rsidRPr="004E0F02" w:rsidRDefault="00CE2D18" w:rsidP="009A0D0F">
            <w:pPr>
              <w:spacing w:line="240" w:lineRule="auto"/>
              <w:jc w:val="both"/>
            </w:pPr>
            <w:r w:rsidRPr="004E0F02">
              <w:t>Polska od ostatnich kilku lat umacnia swoje miejsce</w:t>
            </w:r>
            <w:r w:rsidR="00AF626C" w:rsidRPr="004E0F02">
              <w:t xml:space="preserve"> w </w:t>
            </w:r>
            <w:r w:rsidRPr="004E0F02">
              <w:t>rankingach otwartości</w:t>
            </w:r>
            <w:r w:rsidR="00AF626C" w:rsidRPr="004E0F02">
              <w:t xml:space="preserve"> i </w:t>
            </w:r>
            <w:r w:rsidRPr="004E0F02">
              <w:t>ma duży potencjał, aby stać się jednym z liderów otwartości.</w:t>
            </w:r>
            <w:r w:rsidR="00AF626C" w:rsidRPr="004E0F02">
              <w:t xml:space="preserve"> W </w:t>
            </w:r>
            <w:r w:rsidRPr="004E0F02">
              <w:t>rankingu Organizacji Współpracy Gospodarczej</w:t>
            </w:r>
            <w:r w:rsidR="00AF626C" w:rsidRPr="004E0F02">
              <w:t xml:space="preserve"> i </w:t>
            </w:r>
            <w:r w:rsidRPr="004E0F02">
              <w:t xml:space="preserve">Rozwoju (OECD) </w:t>
            </w:r>
            <w:r w:rsidR="00E45B1D" w:rsidRPr="004E0F02">
              <w:t>„</w:t>
            </w:r>
            <w:r w:rsidRPr="004E0F02">
              <w:t>Open, Useful, Reusable Government Data</w:t>
            </w:r>
            <w:r w:rsidR="00E45B1D" w:rsidRPr="004E0F02">
              <w:t>”</w:t>
            </w:r>
            <w:r w:rsidRPr="004E0F02">
              <w:t>, opublikowanym</w:t>
            </w:r>
            <w:r w:rsidR="00AF626C" w:rsidRPr="004E0F02">
              <w:t xml:space="preserve"> w </w:t>
            </w:r>
            <w:r w:rsidRPr="004E0F02">
              <w:t>raporcie Government at</w:t>
            </w:r>
            <w:r w:rsidR="00AF626C" w:rsidRPr="004E0F02">
              <w:t xml:space="preserve"> a </w:t>
            </w:r>
            <w:r w:rsidRPr="004E0F02">
              <w:t>Glance 2019, Polska znalazła się na 14. miejscu na 3</w:t>
            </w:r>
            <w:r w:rsidR="00AF626C" w:rsidRPr="004E0F02">
              <w:t>2 </w:t>
            </w:r>
            <w:r w:rsidRPr="004E0F02">
              <w:t>badane państwa – biorąc pod uwagę dostęp i otwartość danych oraz rządowe wsparcie dla możliwości ponownego wykorzystywania informacji sektora publicznego. Jest to awans</w:t>
            </w:r>
            <w:r w:rsidR="00AF626C" w:rsidRPr="004E0F02">
              <w:t xml:space="preserve"> o 6 </w:t>
            </w:r>
            <w:r w:rsidRPr="004E0F02">
              <w:t>miejsc</w:t>
            </w:r>
            <w:r w:rsidR="00AF626C" w:rsidRPr="004E0F02">
              <w:t xml:space="preserve"> w </w:t>
            </w:r>
            <w:r w:rsidRPr="004E0F02">
              <w:t>stosunku do rankingu</w:t>
            </w:r>
            <w:r w:rsidR="00AF626C" w:rsidRPr="004E0F02">
              <w:t xml:space="preserve"> z </w:t>
            </w:r>
            <w:r w:rsidRPr="004E0F02">
              <w:t>201</w:t>
            </w:r>
            <w:r w:rsidR="00AF626C" w:rsidRPr="004E0F02">
              <w:t>7 </w:t>
            </w:r>
            <w:r w:rsidRPr="004E0F02">
              <w:t>r.</w:t>
            </w:r>
          </w:p>
          <w:p w14:paraId="0FCE1B80" w14:textId="77777777" w:rsidR="00CE2D18" w:rsidRPr="004E0F02" w:rsidRDefault="00CE2D18" w:rsidP="009A0D0F">
            <w:pPr>
              <w:spacing w:line="240" w:lineRule="auto"/>
              <w:jc w:val="both"/>
            </w:pPr>
            <w:r w:rsidRPr="004E0F02">
              <w:t>W rankingu Open Data Maturity in Europe 201</w:t>
            </w:r>
            <w:r w:rsidR="00AF626C" w:rsidRPr="004E0F02">
              <w:t>9 </w:t>
            </w:r>
            <w:r w:rsidRPr="004E0F02">
              <w:t>sporządzonym na zlecenie Komisji Europejskiej, badającym poziom otwartości danych</w:t>
            </w:r>
            <w:r w:rsidR="00AF626C" w:rsidRPr="004E0F02">
              <w:t xml:space="preserve"> w </w:t>
            </w:r>
            <w:r w:rsidRPr="004E0F02">
              <w:t>poszczególnych krajach Unii Europejskiej (UE) Polska zajęła 7. miejsce. Jest to duży awans</w:t>
            </w:r>
            <w:r w:rsidR="00AF626C" w:rsidRPr="004E0F02">
              <w:t xml:space="preserve"> z </w:t>
            </w:r>
            <w:r w:rsidRPr="004E0F02">
              <w:t>1</w:t>
            </w:r>
            <w:r w:rsidR="00AF626C" w:rsidRPr="004E0F02">
              <w:t>4 </w:t>
            </w:r>
            <w:r w:rsidRPr="004E0F02">
              <w:t>miejsca</w:t>
            </w:r>
            <w:r w:rsidR="00AF626C" w:rsidRPr="004E0F02">
              <w:t xml:space="preserve"> w </w:t>
            </w:r>
            <w:r w:rsidRPr="004E0F02">
              <w:t>201</w:t>
            </w:r>
            <w:r w:rsidR="00AF626C" w:rsidRPr="004E0F02">
              <w:t>8 </w:t>
            </w:r>
            <w:r w:rsidRPr="004E0F02">
              <w:t>r.</w:t>
            </w:r>
            <w:r w:rsidR="00AF626C" w:rsidRPr="004E0F02">
              <w:t xml:space="preserve"> i </w:t>
            </w:r>
            <w:r w:rsidRPr="004E0F02">
              <w:t>22. miejsca</w:t>
            </w:r>
            <w:r w:rsidR="00AF626C" w:rsidRPr="004E0F02">
              <w:t xml:space="preserve"> w </w:t>
            </w:r>
            <w:r w:rsidRPr="004E0F02">
              <w:t>201</w:t>
            </w:r>
            <w:r w:rsidR="00AF626C" w:rsidRPr="004E0F02">
              <w:t>7 </w:t>
            </w:r>
            <w:r w:rsidRPr="004E0F02">
              <w:t>r.</w:t>
            </w:r>
            <w:r w:rsidR="00AF626C" w:rsidRPr="004E0F02">
              <w:t xml:space="preserve"> W </w:t>
            </w:r>
            <w:r w:rsidRPr="004E0F02">
              <w:t>czołówce krajów</w:t>
            </w:r>
            <w:r w:rsidR="00AF626C" w:rsidRPr="004E0F02">
              <w:t xml:space="preserve"> z </w:t>
            </w:r>
            <w:r w:rsidRPr="004E0F02">
              <w:t>największą otwartością danych znajdują się Irlandia, Hiszpania, Francja</w:t>
            </w:r>
            <w:r w:rsidR="00AF626C" w:rsidRPr="004E0F02">
              <w:t xml:space="preserve"> i </w:t>
            </w:r>
            <w:r w:rsidRPr="004E0F02">
              <w:t>Cypr.</w:t>
            </w:r>
          </w:p>
        </w:tc>
      </w:tr>
      <w:tr w:rsidR="00CE2D18" w:rsidRPr="004E0F02" w14:paraId="795DA008" w14:textId="77777777" w:rsidTr="0001659E">
        <w:trPr>
          <w:trHeight w:val="142"/>
        </w:trPr>
        <w:tc>
          <w:tcPr>
            <w:tcW w:w="5000" w:type="pct"/>
            <w:gridSpan w:val="27"/>
            <w:shd w:val="clear" w:color="auto" w:fill="99CCFF"/>
            <w:vAlign w:val="center"/>
          </w:tcPr>
          <w:p w14:paraId="690ED711" w14:textId="77777777" w:rsidR="00CE2D18" w:rsidRPr="004E0F02" w:rsidRDefault="00CE2D18" w:rsidP="009346F9">
            <w:pPr>
              <w:widowControl/>
              <w:numPr>
                <w:ilvl w:val="0"/>
                <w:numId w:val="1"/>
              </w:numPr>
              <w:autoSpaceDE/>
              <w:autoSpaceDN/>
              <w:adjustRightInd/>
              <w:spacing w:before="60" w:after="60" w:line="240" w:lineRule="auto"/>
              <w:ind w:left="318" w:hanging="284"/>
              <w:jc w:val="both"/>
              <w:rPr>
                <w:b/>
              </w:rPr>
            </w:pPr>
            <w:r w:rsidRPr="004E0F02">
              <w:rPr>
                <w:b/>
                <w:spacing w:val="-2"/>
              </w:rPr>
              <w:lastRenderedPageBreak/>
              <w:t>Rekomendowane rozwiązanie,</w:t>
            </w:r>
            <w:r w:rsidR="00AF626C" w:rsidRPr="004E0F02">
              <w:rPr>
                <w:b/>
                <w:spacing w:val="-2"/>
              </w:rPr>
              <w:t xml:space="preserve"> w </w:t>
            </w:r>
            <w:r w:rsidRPr="004E0F02">
              <w:rPr>
                <w:b/>
                <w:spacing w:val="-2"/>
              </w:rPr>
              <w:t>tym planowane narzędzia interwencji,</w:t>
            </w:r>
            <w:r w:rsidR="00AF626C" w:rsidRPr="004E0F02">
              <w:rPr>
                <w:b/>
                <w:spacing w:val="-2"/>
              </w:rPr>
              <w:t xml:space="preserve"> i </w:t>
            </w:r>
            <w:r w:rsidRPr="004E0F02">
              <w:rPr>
                <w:b/>
                <w:spacing w:val="-2"/>
              </w:rPr>
              <w:t>oczekiwany efekt</w:t>
            </w:r>
          </w:p>
        </w:tc>
      </w:tr>
      <w:tr w:rsidR="00CE2D18" w:rsidRPr="004E0F02" w14:paraId="1D8194A0" w14:textId="77777777" w:rsidTr="0001659E">
        <w:trPr>
          <w:trHeight w:val="142"/>
        </w:trPr>
        <w:tc>
          <w:tcPr>
            <w:tcW w:w="5000" w:type="pct"/>
            <w:gridSpan w:val="27"/>
            <w:shd w:val="clear" w:color="auto" w:fill="auto"/>
          </w:tcPr>
          <w:p w14:paraId="17D15296" w14:textId="527CB386" w:rsidR="00CE2D18" w:rsidRPr="004E0F02" w:rsidRDefault="00CE2D18" w:rsidP="009A0D0F">
            <w:pPr>
              <w:pStyle w:val="Default"/>
              <w:jc w:val="both"/>
              <w:rPr>
                <w:rFonts w:ascii="Times New Roman" w:hAnsi="Times New Roman"/>
                <w:color w:val="auto"/>
                <w:spacing w:val="-2"/>
              </w:rPr>
            </w:pPr>
            <w:r w:rsidRPr="004E0F02">
              <w:rPr>
                <w:rFonts w:ascii="Times New Roman" w:hAnsi="Times New Roman"/>
                <w:color w:val="auto"/>
                <w:spacing w:val="-2"/>
              </w:rPr>
              <w:t>W związku</w:t>
            </w:r>
            <w:r w:rsidR="00AF626C" w:rsidRPr="004E0F02">
              <w:rPr>
                <w:rFonts w:ascii="Times New Roman" w:hAnsi="Times New Roman"/>
                <w:color w:val="auto"/>
                <w:spacing w:val="-2"/>
              </w:rPr>
              <w:t xml:space="preserve"> z </w:t>
            </w:r>
            <w:r w:rsidRPr="004E0F02">
              <w:rPr>
                <w:rFonts w:ascii="Times New Roman" w:hAnsi="Times New Roman"/>
                <w:color w:val="auto"/>
                <w:spacing w:val="-2"/>
              </w:rPr>
              <w:t>poszerzeniem zakresu dyrektywy 2019/1024/UE (dane badawcze, dane przedsiębiorstw publicznych) oraz wyodrębnieniem spośród informacji sektora publicznego nowych kategorii danych – danych dynamicznych oraz danych o wysokiej wartości, jak</w:t>
            </w:r>
            <w:r w:rsidR="00AF626C" w:rsidRPr="004E0F02">
              <w:rPr>
                <w:rFonts w:ascii="Times New Roman" w:hAnsi="Times New Roman"/>
                <w:color w:val="auto"/>
                <w:spacing w:val="-2"/>
              </w:rPr>
              <w:t xml:space="preserve"> i </w:t>
            </w:r>
            <w:r w:rsidRPr="004E0F02">
              <w:rPr>
                <w:rFonts w:ascii="Times New Roman" w:hAnsi="Times New Roman"/>
                <w:color w:val="auto"/>
                <w:spacing w:val="-2"/>
              </w:rPr>
              <w:t xml:space="preserve">zmianie tytułu samego instrumentu, rekomendowanie jest opracowanie projektu nowej ustawy, której proponuje się nadać tytuł </w:t>
            </w:r>
            <w:r w:rsidR="00E45B1D" w:rsidRPr="004E0F02">
              <w:rPr>
                <w:rFonts w:ascii="Times New Roman" w:hAnsi="Times New Roman"/>
                <w:color w:val="auto"/>
                <w:spacing w:val="-2"/>
              </w:rPr>
              <w:t>„</w:t>
            </w:r>
            <w:r w:rsidRPr="004E0F02">
              <w:rPr>
                <w:rFonts w:ascii="Times New Roman" w:hAnsi="Times New Roman"/>
                <w:color w:val="auto"/>
                <w:spacing w:val="-2"/>
              </w:rPr>
              <w:t>ustawa</w:t>
            </w:r>
            <w:r w:rsidR="00AF626C" w:rsidRPr="004E0F02">
              <w:rPr>
                <w:rFonts w:ascii="Times New Roman" w:hAnsi="Times New Roman"/>
                <w:color w:val="auto"/>
                <w:spacing w:val="-2"/>
              </w:rPr>
              <w:t xml:space="preserve"> o </w:t>
            </w:r>
            <w:r w:rsidRPr="004E0F02">
              <w:rPr>
                <w:rFonts w:ascii="Times New Roman" w:hAnsi="Times New Roman"/>
                <w:color w:val="auto"/>
                <w:spacing w:val="-2"/>
              </w:rPr>
              <w:t>otwartych danych</w:t>
            </w:r>
            <w:r w:rsidR="00AF626C" w:rsidRPr="004E0F02">
              <w:rPr>
                <w:rFonts w:ascii="Times New Roman" w:hAnsi="Times New Roman"/>
                <w:color w:val="auto"/>
                <w:spacing w:val="-2"/>
              </w:rPr>
              <w:t xml:space="preserve"> i </w:t>
            </w:r>
            <w:r w:rsidRPr="004E0F02">
              <w:rPr>
                <w:rFonts w:ascii="Times New Roman" w:hAnsi="Times New Roman"/>
                <w:color w:val="auto"/>
                <w:spacing w:val="-2"/>
              </w:rPr>
              <w:t>ponownym wykorzystywaniu informacji sektora publicznego</w:t>
            </w:r>
            <w:r w:rsidR="00E45B1D" w:rsidRPr="004E0F02">
              <w:rPr>
                <w:rFonts w:ascii="Times New Roman" w:hAnsi="Times New Roman"/>
                <w:color w:val="auto"/>
                <w:spacing w:val="-2"/>
              </w:rPr>
              <w:t>”</w:t>
            </w:r>
            <w:r w:rsidRPr="004E0F02">
              <w:rPr>
                <w:rFonts w:ascii="Times New Roman" w:hAnsi="Times New Roman"/>
                <w:color w:val="auto"/>
                <w:spacing w:val="-2"/>
              </w:rPr>
              <w:t>. Konsekwencją będzie uchylenie przepisów ustawy</w:t>
            </w:r>
            <w:r w:rsidR="00AF626C" w:rsidRPr="004E0F02">
              <w:rPr>
                <w:rFonts w:ascii="Times New Roman" w:hAnsi="Times New Roman"/>
                <w:color w:val="auto"/>
                <w:spacing w:val="-2"/>
              </w:rPr>
              <w:t xml:space="preserve"> z </w:t>
            </w:r>
            <w:r w:rsidRPr="004E0F02">
              <w:rPr>
                <w:rFonts w:ascii="Times New Roman" w:hAnsi="Times New Roman"/>
                <w:color w:val="auto"/>
                <w:spacing w:val="-2"/>
              </w:rPr>
              <w:t>dnia 2</w:t>
            </w:r>
            <w:r w:rsidR="00AF626C" w:rsidRPr="004E0F02">
              <w:rPr>
                <w:rFonts w:ascii="Times New Roman" w:hAnsi="Times New Roman"/>
                <w:color w:val="auto"/>
                <w:spacing w:val="-2"/>
              </w:rPr>
              <w:t>5 </w:t>
            </w:r>
            <w:r w:rsidRPr="004E0F02">
              <w:rPr>
                <w:rFonts w:ascii="Times New Roman" w:hAnsi="Times New Roman"/>
                <w:color w:val="auto"/>
                <w:spacing w:val="-2"/>
              </w:rPr>
              <w:t>lutego 201</w:t>
            </w:r>
            <w:r w:rsidR="00AF626C" w:rsidRPr="004E0F02">
              <w:rPr>
                <w:rFonts w:ascii="Times New Roman" w:hAnsi="Times New Roman"/>
                <w:color w:val="auto"/>
                <w:spacing w:val="-2"/>
              </w:rPr>
              <w:t>6 </w:t>
            </w:r>
            <w:r w:rsidRPr="004E0F02">
              <w:rPr>
                <w:rFonts w:ascii="Times New Roman" w:hAnsi="Times New Roman"/>
                <w:color w:val="auto"/>
                <w:spacing w:val="-2"/>
              </w:rPr>
              <w:t>r.</w:t>
            </w:r>
            <w:r w:rsidR="00AF626C" w:rsidRPr="004E0F02">
              <w:rPr>
                <w:rFonts w:ascii="Times New Roman" w:hAnsi="Times New Roman"/>
                <w:color w:val="auto"/>
                <w:spacing w:val="-2"/>
              </w:rPr>
              <w:t xml:space="preserve"> o </w:t>
            </w:r>
            <w:r w:rsidRPr="004E0F02">
              <w:rPr>
                <w:rFonts w:ascii="Times New Roman" w:hAnsi="Times New Roman"/>
                <w:color w:val="auto"/>
                <w:spacing w:val="-2"/>
              </w:rPr>
              <w:t>ponownym wykorzystywaniu informacji sektora publicznego (</w:t>
            </w:r>
            <w:r w:rsidR="00E45B1D" w:rsidRPr="004E0F02">
              <w:rPr>
                <w:rFonts w:ascii="Times New Roman" w:hAnsi="Times New Roman"/>
                <w:bCs/>
                <w:color w:val="auto"/>
              </w:rPr>
              <w:t>Dz. U.</w:t>
            </w:r>
            <w:r w:rsidR="00AF626C" w:rsidRPr="004E0F02">
              <w:rPr>
                <w:rFonts w:ascii="Times New Roman" w:hAnsi="Times New Roman"/>
                <w:bCs/>
                <w:color w:val="auto"/>
              </w:rPr>
              <w:t xml:space="preserve"> z </w:t>
            </w:r>
            <w:r w:rsidRPr="004E0F02">
              <w:rPr>
                <w:rFonts w:ascii="Times New Roman" w:hAnsi="Times New Roman"/>
                <w:bCs/>
                <w:color w:val="auto"/>
              </w:rPr>
              <w:t>201</w:t>
            </w:r>
            <w:r w:rsidR="00AF626C" w:rsidRPr="004E0F02">
              <w:rPr>
                <w:rFonts w:ascii="Times New Roman" w:hAnsi="Times New Roman"/>
                <w:bCs/>
                <w:color w:val="auto"/>
              </w:rPr>
              <w:t>9 </w:t>
            </w:r>
            <w:r w:rsidRPr="004E0F02">
              <w:rPr>
                <w:rFonts w:ascii="Times New Roman" w:hAnsi="Times New Roman"/>
                <w:bCs/>
                <w:color w:val="auto"/>
              </w:rPr>
              <w:t>r.</w:t>
            </w:r>
            <w:r w:rsidR="00E45B1D" w:rsidRPr="004E0F02">
              <w:rPr>
                <w:rFonts w:ascii="Times New Roman" w:hAnsi="Times New Roman"/>
                <w:bCs/>
                <w:color w:val="auto"/>
              </w:rPr>
              <w:t xml:space="preserve"> poz. </w:t>
            </w:r>
            <w:r w:rsidRPr="004E0F02">
              <w:rPr>
                <w:rFonts w:ascii="Times New Roman" w:hAnsi="Times New Roman"/>
                <w:bCs/>
                <w:color w:val="auto"/>
              </w:rPr>
              <w:t>1446</w:t>
            </w:r>
            <w:r w:rsidRPr="004E0F02">
              <w:rPr>
                <w:rFonts w:ascii="Times New Roman" w:hAnsi="Times New Roman"/>
                <w:color w:val="auto"/>
                <w:spacing w:val="-2"/>
              </w:rPr>
              <w:t>). Nowa ustawa opierać się będzie w zasadniczej części na dotychczasowych zasadach</w:t>
            </w:r>
            <w:r w:rsidR="00AF626C" w:rsidRPr="004E0F02">
              <w:rPr>
                <w:rFonts w:ascii="Times New Roman" w:hAnsi="Times New Roman"/>
                <w:color w:val="auto"/>
                <w:spacing w:val="-2"/>
              </w:rPr>
              <w:t xml:space="preserve"> i </w:t>
            </w:r>
            <w:r w:rsidRPr="004E0F02">
              <w:rPr>
                <w:rFonts w:ascii="Times New Roman" w:hAnsi="Times New Roman"/>
                <w:color w:val="auto"/>
                <w:spacing w:val="-2"/>
              </w:rPr>
              <w:t>procedurze udostępniania informacji sektora publicznego do ponownego wykorzystywania, jednocześnie promując rozwiązania, których celem będzie zapewnienie dostępu</w:t>
            </w:r>
            <w:r w:rsidR="00AF626C" w:rsidRPr="004E0F02">
              <w:rPr>
                <w:rFonts w:ascii="Times New Roman" w:hAnsi="Times New Roman"/>
                <w:color w:val="auto"/>
                <w:spacing w:val="-2"/>
              </w:rPr>
              <w:t xml:space="preserve"> w </w:t>
            </w:r>
            <w:r w:rsidRPr="004E0F02">
              <w:rPr>
                <w:rFonts w:ascii="Times New Roman" w:hAnsi="Times New Roman"/>
                <w:color w:val="auto"/>
                <w:spacing w:val="-2"/>
              </w:rPr>
              <w:t>czasie rzeczywistym do danych dynamicznych oraz danych</w:t>
            </w:r>
            <w:r w:rsidR="00AF626C" w:rsidRPr="004E0F02">
              <w:rPr>
                <w:rFonts w:ascii="Times New Roman" w:hAnsi="Times New Roman"/>
                <w:color w:val="auto"/>
                <w:spacing w:val="-2"/>
              </w:rPr>
              <w:t xml:space="preserve"> o </w:t>
            </w:r>
            <w:r w:rsidRPr="004E0F02">
              <w:rPr>
                <w:rFonts w:ascii="Times New Roman" w:hAnsi="Times New Roman"/>
                <w:color w:val="auto"/>
                <w:spacing w:val="-2"/>
              </w:rPr>
              <w:t>wysokiej wartości za pośrednictwem API, zwiększenie podaży wartościowych danych publicznych do ponownego wykorzystywania,</w:t>
            </w:r>
            <w:r w:rsidR="00AF626C" w:rsidRPr="004E0F02">
              <w:rPr>
                <w:rFonts w:ascii="Times New Roman" w:hAnsi="Times New Roman"/>
                <w:color w:val="auto"/>
                <w:spacing w:val="-2"/>
              </w:rPr>
              <w:t xml:space="preserve"> w </w:t>
            </w:r>
            <w:r w:rsidRPr="004E0F02">
              <w:rPr>
                <w:rFonts w:ascii="Times New Roman" w:hAnsi="Times New Roman"/>
                <w:color w:val="auto"/>
                <w:spacing w:val="-2"/>
              </w:rPr>
              <w:t>tym danych badawczych oraz danych pochodzących</w:t>
            </w:r>
            <w:r w:rsidR="00AF626C" w:rsidRPr="004E0F02">
              <w:rPr>
                <w:rFonts w:ascii="Times New Roman" w:hAnsi="Times New Roman"/>
                <w:color w:val="auto"/>
                <w:spacing w:val="-2"/>
              </w:rPr>
              <w:t xml:space="preserve"> z </w:t>
            </w:r>
            <w:r w:rsidRPr="004E0F02">
              <w:rPr>
                <w:rFonts w:ascii="Times New Roman" w:hAnsi="Times New Roman"/>
                <w:color w:val="auto"/>
                <w:spacing w:val="-2"/>
              </w:rPr>
              <w:t xml:space="preserve">przedsiębiorstw publicznych. </w:t>
            </w:r>
          </w:p>
          <w:p w14:paraId="545A0BC0" w14:textId="1BD1BCBE" w:rsidR="00CE2D18" w:rsidRPr="004E0F02" w:rsidRDefault="00CE2D18" w:rsidP="00E651D1">
            <w:pPr>
              <w:pStyle w:val="Default"/>
              <w:jc w:val="both"/>
              <w:rPr>
                <w:rFonts w:ascii="Times New Roman" w:hAnsi="Times New Roman"/>
                <w:color w:val="auto"/>
                <w:spacing w:val="-2"/>
              </w:rPr>
            </w:pPr>
            <w:r w:rsidRPr="004E0F02">
              <w:rPr>
                <w:rFonts w:ascii="Times New Roman" w:hAnsi="Times New Roman"/>
                <w:color w:val="auto"/>
                <w:spacing w:val="-2"/>
              </w:rPr>
              <w:t>Nowa ustawa zawierać będzie ponadto nowe regulacje wykraczające poza minimum określone dyrektywą 2019/1024/UE, m.in.: zaktualizowanie</w:t>
            </w:r>
            <w:r w:rsidR="00AF626C" w:rsidRPr="004E0F02">
              <w:rPr>
                <w:rFonts w:ascii="Times New Roman" w:hAnsi="Times New Roman"/>
                <w:color w:val="auto"/>
                <w:spacing w:val="-2"/>
              </w:rPr>
              <w:t xml:space="preserve"> i </w:t>
            </w:r>
            <w:r w:rsidRPr="004E0F02">
              <w:rPr>
                <w:rFonts w:ascii="Times New Roman" w:hAnsi="Times New Roman"/>
                <w:color w:val="auto"/>
                <w:spacing w:val="-2"/>
              </w:rPr>
              <w:t>przeniesienie do projektowanej ustawy regulacji dotyczącej centralnego repozytorium informacji publicznej (portal dane.gov.pl) znajdującej się obecnie</w:t>
            </w:r>
            <w:r w:rsidR="00AF626C" w:rsidRPr="004E0F02">
              <w:rPr>
                <w:rFonts w:ascii="Times New Roman" w:hAnsi="Times New Roman"/>
                <w:color w:val="auto"/>
                <w:spacing w:val="-2"/>
              </w:rPr>
              <w:t xml:space="preserve"> w </w:t>
            </w:r>
            <w:r w:rsidRPr="004E0F02">
              <w:rPr>
                <w:rFonts w:ascii="Times New Roman" w:hAnsi="Times New Roman"/>
                <w:color w:val="auto"/>
                <w:spacing w:val="-2"/>
              </w:rPr>
              <w:t>ustawie</w:t>
            </w:r>
            <w:r w:rsidR="00AF626C" w:rsidRPr="004E0F02">
              <w:rPr>
                <w:rFonts w:ascii="Times New Roman" w:hAnsi="Times New Roman"/>
                <w:color w:val="auto"/>
                <w:spacing w:val="-2"/>
              </w:rPr>
              <w:t xml:space="preserve"> z </w:t>
            </w:r>
            <w:r w:rsidRPr="004E0F02">
              <w:rPr>
                <w:rFonts w:ascii="Times New Roman" w:hAnsi="Times New Roman"/>
                <w:color w:val="auto"/>
                <w:spacing w:val="-2"/>
              </w:rPr>
              <w:t xml:space="preserve">dnia </w:t>
            </w:r>
            <w:r w:rsidR="00AF626C" w:rsidRPr="004E0F02">
              <w:rPr>
                <w:rFonts w:ascii="Times New Roman" w:hAnsi="Times New Roman"/>
                <w:color w:val="auto"/>
                <w:spacing w:val="-2"/>
              </w:rPr>
              <w:t>6 </w:t>
            </w:r>
            <w:r w:rsidRPr="004E0F02">
              <w:rPr>
                <w:rFonts w:ascii="Times New Roman" w:hAnsi="Times New Roman"/>
                <w:color w:val="auto"/>
                <w:spacing w:val="-2"/>
              </w:rPr>
              <w:t>września 200</w:t>
            </w:r>
            <w:r w:rsidR="00AF626C" w:rsidRPr="004E0F02">
              <w:rPr>
                <w:rFonts w:ascii="Times New Roman" w:hAnsi="Times New Roman"/>
                <w:color w:val="auto"/>
                <w:spacing w:val="-2"/>
              </w:rPr>
              <w:t>1 </w:t>
            </w:r>
            <w:r w:rsidRPr="004E0F02">
              <w:rPr>
                <w:rFonts w:ascii="Times New Roman" w:hAnsi="Times New Roman"/>
                <w:color w:val="auto"/>
                <w:spacing w:val="-2"/>
              </w:rPr>
              <w:t>r.</w:t>
            </w:r>
            <w:r w:rsidR="00AF626C" w:rsidRPr="004E0F02">
              <w:rPr>
                <w:rFonts w:ascii="Times New Roman" w:hAnsi="Times New Roman"/>
                <w:color w:val="auto"/>
                <w:spacing w:val="-2"/>
              </w:rPr>
              <w:t xml:space="preserve"> o </w:t>
            </w:r>
            <w:r w:rsidRPr="004E0F02">
              <w:rPr>
                <w:rFonts w:ascii="Times New Roman" w:hAnsi="Times New Roman"/>
                <w:color w:val="auto"/>
                <w:spacing w:val="-2"/>
              </w:rPr>
              <w:t>dostępie do informacji publicznej (</w:t>
            </w:r>
            <w:r w:rsidR="00E45B1D" w:rsidRPr="004E0F02">
              <w:rPr>
                <w:rFonts w:ascii="Times New Roman" w:hAnsi="Times New Roman"/>
                <w:color w:val="auto"/>
                <w:spacing w:val="-2"/>
              </w:rPr>
              <w:t>Dz. U.</w:t>
            </w:r>
            <w:r w:rsidR="00AF626C" w:rsidRPr="004E0F02">
              <w:rPr>
                <w:rFonts w:ascii="Times New Roman" w:hAnsi="Times New Roman"/>
                <w:color w:val="auto"/>
                <w:spacing w:val="-2"/>
              </w:rPr>
              <w:t xml:space="preserve"> z </w:t>
            </w:r>
            <w:r w:rsidRPr="004E0F02">
              <w:rPr>
                <w:rFonts w:ascii="Times New Roman" w:hAnsi="Times New Roman"/>
                <w:color w:val="auto"/>
                <w:spacing w:val="-2"/>
              </w:rPr>
              <w:t>20</w:t>
            </w:r>
            <w:r w:rsidR="00E651D1" w:rsidRPr="004E0F02">
              <w:rPr>
                <w:rFonts w:ascii="Times New Roman" w:hAnsi="Times New Roman"/>
                <w:color w:val="auto"/>
                <w:spacing w:val="-2"/>
              </w:rPr>
              <w:t>20</w:t>
            </w:r>
            <w:r w:rsidR="00AF626C" w:rsidRPr="004E0F02">
              <w:rPr>
                <w:rFonts w:ascii="Times New Roman" w:hAnsi="Times New Roman"/>
                <w:color w:val="auto"/>
                <w:spacing w:val="-2"/>
              </w:rPr>
              <w:t> </w:t>
            </w:r>
            <w:r w:rsidRPr="004E0F02">
              <w:rPr>
                <w:rFonts w:ascii="Times New Roman" w:hAnsi="Times New Roman"/>
                <w:color w:val="auto"/>
                <w:spacing w:val="-2"/>
              </w:rPr>
              <w:t>r.</w:t>
            </w:r>
            <w:r w:rsidR="00E45B1D" w:rsidRPr="004E0F02">
              <w:rPr>
                <w:rFonts w:ascii="Times New Roman" w:hAnsi="Times New Roman"/>
                <w:color w:val="auto"/>
                <w:spacing w:val="-2"/>
              </w:rPr>
              <w:t xml:space="preserve"> poz. </w:t>
            </w:r>
            <w:r w:rsidR="00E651D1" w:rsidRPr="004E0F02">
              <w:rPr>
                <w:rFonts w:ascii="Times New Roman" w:hAnsi="Times New Roman"/>
                <w:color w:val="auto"/>
                <w:spacing w:val="-2"/>
              </w:rPr>
              <w:t>2176</w:t>
            </w:r>
            <w:r w:rsidRPr="004E0F02">
              <w:rPr>
                <w:rFonts w:ascii="Times New Roman" w:hAnsi="Times New Roman"/>
                <w:color w:val="auto"/>
                <w:spacing w:val="-2"/>
              </w:rPr>
              <w:t xml:space="preserve">); wprowadzenie upoważnienia ustawowego dla ministra właściwego do spraw informatyzacji do opracowania Programu </w:t>
            </w:r>
            <w:r w:rsidR="00E651D1" w:rsidRPr="004E0F02">
              <w:rPr>
                <w:rFonts w:ascii="Times New Roman" w:hAnsi="Times New Roman"/>
                <w:color w:val="auto"/>
                <w:spacing w:val="-2"/>
              </w:rPr>
              <w:t xml:space="preserve">otwierania danych </w:t>
            </w:r>
            <w:r w:rsidRPr="004E0F02">
              <w:rPr>
                <w:rFonts w:ascii="Times New Roman" w:hAnsi="Times New Roman"/>
                <w:color w:val="auto"/>
                <w:spacing w:val="-2"/>
              </w:rPr>
              <w:lastRenderedPageBreak/>
              <w:t xml:space="preserve">(który zastąpi dotychczasowy Program </w:t>
            </w:r>
            <w:r w:rsidR="00E651D1" w:rsidRPr="004E0F02">
              <w:rPr>
                <w:rFonts w:ascii="Times New Roman" w:hAnsi="Times New Roman"/>
                <w:color w:val="auto"/>
                <w:spacing w:val="-2"/>
              </w:rPr>
              <w:t xml:space="preserve">otwierania danych publicznych </w:t>
            </w:r>
            <w:r w:rsidRPr="004E0F02">
              <w:rPr>
                <w:rFonts w:ascii="Times New Roman" w:hAnsi="Times New Roman"/>
                <w:color w:val="auto"/>
                <w:spacing w:val="-2"/>
              </w:rPr>
              <w:t>przyjęty uchwałą</w:t>
            </w:r>
            <w:r w:rsidR="00E45B1D" w:rsidRPr="004E0F02">
              <w:rPr>
                <w:rFonts w:ascii="Times New Roman" w:hAnsi="Times New Roman"/>
                <w:color w:val="auto"/>
                <w:spacing w:val="-2"/>
              </w:rPr>
              <w:t xml:space="preserve"> Nr </w:t>
            </w:r>
            <w:r w:rsidRPr="004E0F02">
              <w:rPr>
                <w:rFonts w:ascii="Times New Roman" w:hAnsi="Times New Roman"/>
                <w:color w:val="auto"/>
                <w:spacing w:val="-2"/>
              </w:rPr>
              <w:t>107/201</w:t>
            </w:r>
            <w:r w:rsidR="00AF626C" w:rsidRPr="004E0F02">
              <w:rPr>
                <w:rFonts w:ascii="Times New Roman" w:hAnsi="Times New Roman"/>
                <w:color w:val="auto"/>
                <w:spacing w:val="-2"/>
              </w:rPr>
              <w:t>6 </w:t>
            </w:r>
            <w:r w:rsidRPr="004E0F02">
              <w:rPr>
                <w:rFonts w:ascii="Times New Roman" w:hAnsi="Times New Roman"/>
                <w:color w:val="auto"/>
                <w:spacing w:val="-2"/>
              </w:rPr>
              <w:t>Rady Ministrów</w:t>
            </w:r>
            <w:r w:rsidR="00AF626C" w:rsidRPr="004E0F02">
              <w:rPr>
                <w:rFonts w:ascii="Times New Roman" w:hAnsi="Times New Roman"/>
                <w:color w:val="auto"/>
                <w:spacing w:val="-2"/>
              </w:rPr>
              <w:t xml:space="preserve"> z </w:t>
            </w:r>
            <w:r w:rsidRPr="004E0F02">
              <w:rPr>
                <w:rFonts w:ascii="Times New Roman" w:hAnsi="Times New Roman"/>
                <w:color w:val="auto"/>
                <w:spacing w:val="-2"/>
              </w:rPr>
              <w:t>dnia 2</w:t>
            </w:r>
            <w:r w:rsidR="00AF626C" w:rsidRPr="004E0F02">
              <w:rPr>
                <w:rFonts w:ascii="Times New Roman" w:hAnsi="Times New Roman"/>
                <w:color w:val="auto"/>
                <w:spacing w:val="-2"/>
              </w:rPr>
              <w:t>0 </w:t>
            </w:r>
            <w:r w:rsidRPr="004E0F02">
              <w:rPr>
                <w:rFonts w:ascii="Times New Roman" w:hAnsi="Times New Roman"/>
                <w:color w:val="auto"/>
                <w:spacing w:val="-2"/>
              </w:rPr>
              <w:t>września 201</w:t>
            </w:r>
            <w:r w:rsidR="00AF626C" w:rsidRPr="004E0F02">
              <w:rPr>
                <w:rFonts w:ascii="Times New Roman" w:hAnsi="Times New Roman"/>
                <w:color w:val="auto"/>
                <w:spacing w:val="-2"/>
              </w:rPr>
              <w:t>6 </w:t>
            </w:r>
            <w:r w:rsidRPr="004E0F02">
              <w:rPr>
                <w:rFonts w:ascii="Times New Roman" w:hAnsi="Times New Roman"/>
                <w:color w:val="auto"/>
                <w:spacing w:val="-2"/>
              </w:rPr>
              <w:t>r.); uregulowanie</w:t>
            </w:r>
            <w:r w:rsidR="00AF626C" w:rsidRPr="004E0F02">
              <w:rPr>
                <w:rFonts w:ascii="Times New Roman" w:hAnsi="Times New Roman"/>
                <w:color w:val="auto"/>
                <w:spacing w:val="-2"/>
              </w:rPr>
              <w:t xml:space="preserve"> w </w:t>
            </w:r>
            <w:r w:rsidRPr="004E0F02">
              <w:rPr>
                <w:rFonts w:ascii="Times New Roman" w:hAnsi="Times New Roman"/>
                <w:color w:val="auto"/>
                <w:spacing w:val="-2"/>
              </w:rPr>
              <w:t>ustawie statusu</w:t>
            </w:r>
            <w:r w:rsidR="00AF626C" w:rsidRPr="004E0F02">
              <w:rPr>
                <w:rFonts w:ascii="Times New Roman" w:hAnsi="Times New Roman"/>
                <w:color w:val="auto"/>
                <w:spacing w:val="-2"/>
              </w:rPr>
              <w:t xml:space="preserve"> i </w:t>
            </w:r>
            <w:r w:rsidRPr="004E0F02">
              <w:rPr>
                <w:rFonts w:ascii="Times New Roman" w:hAnsi="Times New Roman"/>
                <w:color w:val="auto"/>
                <w:spacing w:val="-2"/>
              </w:rPr>
              <w:t>zadań pełnomocników do spraw otwartości danych działających obecnie</w:t>
            </w:r>
            <w:r w:rsidR="00AF626C" w:rsidRPr="004E0F02">
              <w:rPr>
                <w:rFonts w:ascii="Times New Roman" w:hAnsi="Times New Roman"/>
                <w:color w:val="auto"/>
                <w:spacing w:val="-2"/>
              </w:rPr>
              <w:t xml:space="preserve"> w </w:t>
            </w:r>
            <w:r w:rsidRPr="004E0F02">
              <w:rPr>
                <w:rFonts w:ascii="Times New Roman" w:hAnsi="Times New Roman"/>
                <w:color w:val="auto"/>
                <w:spacing w:val="-2"/>
              </w:rPr>
              <w:t>wybranych instytucjach administracji rządowej (ministerstwa, Kancelaria Prezesa Rady Ministrów, Główny Urząd Statystyczny) oraz poszerzenie sieci pełnomocników do spraw otwartości danych poprzez umożliwienie ich powoływania</w:t>
            </w:r>
            <w:r w:rsidR="00AF626C" w:rsidRPr="004E0F02">
              <w:rPr>
                <w:rFonts w:ascii="Times New Roman" w:hAnsi="Times New Roman"/>
                <w:color w:val="auto"/>
                <w:spacing w:val="-2"/>
              </w:rPr>
              <w:t xml:space="preserve"> w </w:t>
            </w:r>
            <w:r w:rsidRPr="004E0F02">
              <w:rPr>
                <w:rFonts w:ascii="Times New Roman" w:hAnsi="Times New Roman"/>
                <w:color w:val="auto"/>
                <w:spacing w:val="-2"/>
              </w:rPr>
              <w:t xml:space="preserve">innych instytucjach, nie tylko rządowych (obecnie funkcja ta jest wykonywana na podstawie Programu </w:t>
            </w:r>
            <w:r w:rsidR="00E651D1" w:rsidRPr="004E0F02">
              <w:rPr>
                <w:rFonts w:ascii="Times New Roman" w:hAnsi="Times New Roman"/>
                <w:color w:val="auto"/>
                <w:spacing w:val="-2"/>
              </w:rPr>
              <w:t>otwierania danych publicznych</w:t>
            </w:r>
            <w:r w:rsidRPr="004E0F02">
              <w:rPr>
                <w:rFonts w:ascii="Times New Roman" w:hAnsi="Times New Roman"/>
                <w:color w:val="auto"/>
                <w:spacing w:val="-2"/>
              </w:rPr>
              <w:t>).</w:t>
            </w:r>
          </w:p>
        </w:tc>
      </w:tr>
      <w:tr w:rsidR="00CE2D18" w:rsidRPr="004E0F02" w14:paraId="2DC388FA" w14:textId="77777777" w:rsidTr="0001659E">
        <w:trPr>
          <w:trHeight w:val="307"/>
        </w:trPr>
        <w:tc>
          <w:tcPr>
            <w:tcW w:w="5000" w:type="pct"/>
            <w:gridSpan w:val="27"/>
            <w:shd w:val="clear" w:color="auto" w:fill="99CCFF"/>
            <w:vAlign w:val="center"/>
          </w:tcPr>
          <w:p w14:paraId="0F2F89BB" w14:textId="77777777" w:rsidR="00CE2D18" w:rsidRPr="004E0F02" w:rsidRDefault="00CE2D18" w:rsidP="009346F9">
            <w:pPr>
              <w:widowControl/>
              <w:numPr>
                <w:ilvl w:val="0"/>
                <w:numId w:val="1"/>
              </w:numPr>
              <w:autoSpaceDE/>
              <w:autoSpaceDN/>
              <w:adjustRightInd/>
              <w:spacing w:before="60" w:after="60" w:line="240" w:lineRule="auto"/>
              <w:ind w:left="318" w:hanging="284"/>
              <w:jc w:val="both"/>
              <w:rPr>
                <w:b/>
              </w:rPr>
            </w:pPr>
            <w:r w:rsidRPr="004E0F02">
              <w:rPr>
                <w:b/>
                <w:spacing w:val="-2"/>
              </w:rPr>
              <w:lastRenderedPageBreak/>
              <w:t>Jak problem został rozwiązany</w:t>
            </w:r>
            <w:r w:rsidR="00AF626C" w:rsidRPr="004E0F02">
              <w:rPr>
                <w:b/>
                <w:spacing w:val="-2"/>
              </w:rPr>
              <w:t xml:space="preserve"> w </w:t>
            </w:r>
            <w:r w:rsidRPr="004E0F02">
              <w:rPr>
                <w:b/>
                <w:spacing w:val="-2"/>
              </w:rPr>
              <w:t>innych krajach,</w:t>
            </w:r>
            <w:r w:rsidR="00AF626C" w:rsidRPr="004E0F02">
              <w:rPr>
                <w:b/>
                <w:spacing w:val="-2"/>
              </w:rPr>
              <w:t xml:space="preserve"> w </w:t>
            </w:r>
            <w:r w:rsidRPr="004E0F02">
              <w:rPr>
                <w:b/>
                <w:spacing w:val="-2"/>
              </w:rPr>
              <w:t>szczególności krajach członkowskich OECD/UE</w:t>
            </w:r>
            <w:r w:rsidRPr="004E0F02">
              <w:rPr>
                <w:b/>
              </w:rPr>
              <w:t>?</w:t>
            </w:r>
            <w:r w:rsidRPr="004E0F02">
              <w:rPr>
                <w:i/>
              </w:rPr>
              <w:t xml:space="preserve"> </w:t>
            </w:r>
          </w:p>
        </w:tc>
      </w:tr>
      <w:tr w:rsidR="00CE2D18" w:rsidRPr="004E0F02" w14:paraId="4155BFBE" w14:textId="77777777" w:rsidTr="0001659E">
        <w:trPr>
          <w:trHeight w:val="142"/>
        </w:trPr>
        <w:tc>
          <w:tcPr>
            <w:tcW w:w="5000" w:type="pct"/>
            <w:gridSpan w:val="27"/>
            <w:shd w:val="clear" w:color="auto" w:fill="auto"/>
          </w:tcPr>
          <w:p w14:paraId="32C5A4E6" w14:textId="63967A0E" w:rsidR="00CE2D18" w:rsidRPr="004E0F02" w:rsidRDefault="00CE2D18" w:rsidP="009A0D0F">
            <w:pPr>
              <w:spacing w:line="240" w:lineRule="auto"/>
              <w:jc w:val="both"/>
              <w:rPr>
                <w:spacing w:val="-2"/>
              </w:rPr>
            </w:pPr>
            <w:r w:rsidRPr="004E0F02">
              <w:rPr>
                <w:spacing w:val="-2"/>
              </w:rPr>
              <w:t>Dyrektywa 2019/1024/UE ma zostać zaimplementowana przez państwa UE do 1</w:t>
            </w:r>
            <w:r w:rsidR="00AF626C" w:rsidRPr="004E0F02">
              <w:rPr>
                <w:spacing w:val="-2"/>
              </w:rPr>
              <w:t>7 </w:t>
            </w:r>
            <w:r w:rsidRPr="004E0F02">
              <w:rPr>
                <w:spacing w:val="-2"/>
              </w:rPr>
              <w:t>lipca 202</w:t>
            </w:r>
            <w:r w:rsidR="00AF626C" w:rsidRPr="004E0F02">
              <w:rPr>
                <w:spacing w:val="-2"/>
              </w:rPr>
              <w:t>1 </w:t>
            </w:r>
            <w:r w:rsidRPr="004E0F02">
              <w:rPr>
                <w:spacing w:val="-2"/>
              </w:rPr>
              <w:t>r.</w:t>
            </w:r>
            <w:r w:rsidR="00AF626C" w:rsidRPr="004E0F02">
              <w:rPr>
                <w:spacing w:val="-2"/>
              </w:rPr>
              <w:t xml:space="preserve"> W </w:t>
            </w:r>
            <w:r w:rsidRPr="004E0F02">
              <w:rPr>
                <w:spacing w:val="-2"/>
              </w:rPr>
              <w:t>związku</w:t>
            </w:r>
            <w:r w:rsidR="00AF626C" w:rsidRPr="004E0F02">
              <w:rPr>
                <w:spacing w:val="-2"/>
              </w:rPr>
              <w:t xml:space="preserve"> z </w:t>
            </w:r>
            <w:r w:rsidRPr="004E0F02">
              <w:rPr>
                <w:spacing w:val="-2"/>
              </w:rPr>
              <w:t>tym, że dyrektywa została przyjęta 2</w:t>
            </w:r>
            <w:r w:rsidR="00AF626C" w:rsidRPr="004E0F02">
              <w:rPr>
                <w:spacing w:val="-2"/>
              </w:rPr>
              <w:t>0 </w:t>
            </w:r>
            <w:r w:rsidRPr="004E0F02">
              <w:rPr>
                <w:spacing w:val="-2"/>
              </w:rPr>
              <w:t>czerwca 201</w:t>
            </w:r>
            <w:r w:rsidR="00AF626C" w:rsidRPr="004E0F02">
              <w:rPr>
                <w:spacing w:val="-2"/>
              </w:rPr>
              <w:t>9 </w:t>
            </w:r>
            <w:r w:rsidRPr="004E0F02">
              <w:rPr>
                <w:spacing w:val="-2"/>
              </w:rPr>
              <w:t xml:space="preserve">r., państwa członkowskie dopiero rozpoczęły proces implementacyjny. </w:t>
            </w:r>
          </w:p>
          <w:p w14:paraId="6353E83D" w14:textId="77777777" w:rsidR="00CE2D18" w:rsidRPr="004E0F02" w:rsidRDefault="00CE2D18" w:rsidP="009A0D0F">
            <w:pPr>
              <w:spacing w:line="240" w:lineRule="auto"/>
              <w:jc w:val="both"/>
            </w:pPr>
            <w:r w:rsidRPr="004E0F02">
              <w:rPr>
                <w:b/>
              </w:rPr>
              <w:t>Irlandia</w:t>
            </w:r>
            <w:r w:rsidRPr="004E0F02">
              <w:t>, która od dwóch lat jest liderem</w:t>
            </w:r>
            <w:r w:rsidR="00AF626C" w:rsidRPr="004E0F02">
              <w:t xml:space="preserve"> w </w:t>
            </w:r>
            <w:r w:rsidRPr="004E0F02">
              <w:t xml:space="preserve">rankingu </w:t>
            </w:r>
            <w:r w:rsidRPr="004E0F02">
              <w:rPr>
                <w:i/>
              </w:rPr>
              <w:t>Open Data Maturity</w:t>
            </w:r>
            <w:r w:rsidRPr="004E0F02">
              <w:t>, prowadzi</w:t>
            </w:r>
            <w:r w:rsidR="00AF626C" w:rsidRPr="004E0F02">
              <w:t xml:space="preserve"> w </w:t>
            </w:r>
            <w:r w:rsidRPr="004E0F02">
              <w:t>zakresie otwartości danych politykę</w:t>
            </w:r>
            <w:r w:rsidR="00AF626C" w:rsidRPr="004E0F02">
              <w:t xml:space="preserve"> o </w:t>
            </w:r>
            <w:r w:rsidRPr="004E0F02">
              <w:t>charakterze wielowymiarowym, wykraczającym poza wymogi wynikające</w:t>
            </w:r>
            <w:r w:rsidR="00AF626C" w:rsidRPr="004E0F02">
              <w:t xml:space="preserve"> z </w:t>
            </w:r>
            <w:r w:rsidRPr="004E0F02">
              <w:t>postanowień prawa UE.</w:t>
            </w:r>
          </w:p>
          <w:p w14:paraId="25016073" w14:textId="77777777" w:rsidR="00CE2D18" w:rsidRPr="004E0F02" w:rsidRDefault="00CE2D18" w:rsidP="009A0D0F">
            <w:pPr>
              <w:spacing w:line="240" w:lineRule="auto"/>
              <w:jc w:val="both"/>
            </w:pPr>
            <w:r w:rsidRPr="004E0F02">
              <w:t>Poza rozporządzeniami ministerialnymi, które stanowią implementację dyrektyw 2013/37/UE i 2003/98/WE, Irlandia przyjęła</w:t>
            </w:r>
            <w:r w:rsidR="00AF626C" w:rsidRPr="004E0F02">
              <w:t xml:space="preserve"> w </w:t>
            </w:r>
            <w:r w:rsidRPr="004E0F02">
              <w:t>201</w:t>
            </w:r>
            <w:r w:rsidR="00AF626C" w:rsidRPr="004E0F02">
              <w:t>4 </w:t>
            </w:r>
            <w:r w:rsidRPr="004E0F02">
              <w:t xml:space="preserve">r. </w:t>
            </w:r>
            <w:r w:rsidRPr="004E0F02">
              <w:rPr>
                <w:i/>
              </w:rPr>
              <w:t>Freedom of Information Act</w:t>
            </w:r>
            <w:r w:rsidRPr="004E0F02">
              <w:t>. Ustawa ta wprowadza zasadę, zgodnie</w:t>
            </w:r>
            <w:r w:rsidR="00AF626C" w:rsidRPr="004E0F02">
              <w:t xml:space="preserve"> z </w:t>
            </w:r>
            <w:r w:rsidRPr="004E0F02">
              <w:t>którą każdy podmiot publiczny powinien publikować jak najwięcej informacji jak to tylko możliwe</w:t>
            </w:r>
            <w:r w:rsidR="00AF626C" w:rsidRPr="004E0F02">
              <w:t xml:space="preserve"> z </w:t>
            </w:r>
            <w:r w:rsidRPr="004E0F02">
              <w:t>punktu widzenia przepisów prawa – zachęca więc do bardziej proaktywnego udostępniania informacji.</w:t>
            </w:r>
            <w:r w:rsidR="00AF626C" w:rsidRPr="004E0F02">
              <w:t xml:space="preserve"> W </w:t>
            </w:r>
            <w:r w:rsidRPr="004E0F02">
              <w:rPr>
                <w:i/>
              </w:rPr>
              <w:t>Freedom of Information Act</w:t>
            </w:r>
            <w:r w:rsidRPr="004E0F02">
              <w:t xml:space="preserve"> ustanowiono wymóg publikowania informacji zgodnie</w:t>
            </w:r>
            <w:r w:rsidR="00AF626C" w:rsidRPr="004E0F02">
              <w:t xml:space="preserve"> z </w:t>
            </w:r>
            <w:r w:rsidRPr="004E0F02">
              <w:t>określonymi wytycznymi</w:t>
            </w:r>
            <w:r w:rsidR="00AF626C" w:rsidRPr="004E0F02">
              <w:t xml:space="preserve"> i </w:t>
            </w:r>
            <w:r w:rsidRPr="004E0F02">
              <w:t>ze schematem publikacji, co sprawia, że forma publikowanych przez podmioty sektora publicznego informacji jest jednolita.</w:t>
            </w:r>
          </w:p>
          <w:p w14:paraId="40DDF205" w14:textId="77777777" w:rsidR="00CE2D18" w:rsidRPr="004E0F02" w:rsidRDefault="00CE2D18" w:rsidP="009A0D0F">
            <w:pPr>
              <w:spacing w:line="240" w:lineRule="auto"/>
              <w:jc w:val="both"/>
            </w:pPr>
            <w:r w:rsidRPr="004E0F02">
              <w:t>W zakresie ochrony praw własności intelektualnej</w:t>
            </w:r>
            <w:r w:rsidR="00AF626C" w:rsidRPr="004E0F02">
              <w:t xml:space="preserve"> w </w:t>
            </w:r>
            <w:r w:rsidRPr="004E0F02">
              <w:t>przypadku badań naukowych finansowanych ze środków publicznych instytucja może udzielić licencji na wykorzystanie tych wyników.</w:t>
            </w:r>
          </w:p>
          <w:p w14:paraId="1D9A8648" w14:textId="77777777" w:rsidR="00CE2D18" w:rsidRPr="004E0F02" w:rsidRDefault="00CE2D18" w:rsidP="009A0D0F">
            <w:pPr>
              <w:spacing w:line="240" w:lineRule="auto"/>
              <w:jc w:val="both"/>
            </w:pPr>
            <w:r w:rsidRPr="004E0F02">
              <w:t>W Irlandii funkcjonuje również specjalny mechanizm odwołania od decyzji odmownych na ponowne wykorzystanie danych – rolę organu odwoławczego</w:t>
            </w:r>
            <w:r w:rsidR="00AF626C" w:rsidRPr="004E0F02">
              <w:t xml:space="preserve"> w </w:t>
            </w:r>
            <w:r w:rsidRPr="004E0F02">
              <w:t>pierwszej instancji pełni Information Commissioner.</w:t>
            </w:r>
          </w:p>
          <w:p w14:paraId="4C1E312D" w14:textId="77777777" w:rsidR="00CE2D18" w:rsidRPr="004E0F02" w:rsidRDefault="00CE2D18" w:rsidP="009A0D0F">
            <w:pPr>
              <w:spacing w:line="240" w:lineRule="auto"/>
              <w:jc w:val="both"/>
            </w:pPr>
            <w:r w:rsidRPr="004E0F02">
              <w:t xml:space="preserve">Ponadto, Irlandia ustanowiła fundusz </w:t>
            </w:r>
            <w:r w:rsidRPr="004E0F02">
              <w:rPr>
                <w:i/>
              </w:rPr>
              <w:t>Open Data Engagement Fund</w:t>
            </w:r>
            <w:r w:rsidRPr="004E0F02">
              <w:t>, którego środki są przeznaczane na budowanie świadomości na temat otwartych danych</w:t>
            </w:r>
            <w:r w:rsidR="00AF626C" w:rsidRPr="004E0F02">
              <w:t xml:space="preserve"> i </w:t>
            </w:r>
            <w:r w:rsidRPr="004E0F02">
              <w:t>promowania innowacyjnych zastosowań danych publikowanych na krajowym portalu data.gov.ie.</w:t>
            </w:r>
          </w:p>
          <w:p w14:paraId="77F404FA" w14:textId="1ED5630C" w:rsidR="00CE2D18" w:rsidRPr="004E0F02" w:rsidRDefault="00CE2D18" w:rsidP="009A0D0F">
            <w:pPr>
              <w:spacing w:line="240" w:lineRule="auto"/>
              <w:jc w:val="both"/>
            </w:pPr>
            <w:r w:rsidRPr="004E0F02">
              <w:t xml:space="preserve">Irlandia przyjęła również </w:t>
            </w:r>
            <w:hyperlink r:id="rId13" w:history="1">
              <w:r w:rsidRPr="004E0F02">
                <w:rPr>
                  <w:rStyle w:val="Hipercze"/>
                  <w:color w:val="auto"/>
                </w:rPr>
                <w:t>Strategię Otwartych Danych 201</w:t>
              </w:r>
              <w:r w:rsidR="00E45B1D" w:rsidRPr="004E0F02">
                <w:rPr>
                  <w:rStyle w:val="Hipercze"/>
                  <w:color w:val="auto"/>
                </w:rPr>
                <w:t>7</w:t>
              </w:r>
              <w:r w:rsidR="00E45B1D" w:rsidRPr="004E0F02">
                <w:rPr>
                  <w:rStyle w:val="Hipercze"/>
                  <w:color w:val="auto"/>
                </w:rPr>
                <w:noBreakHyphen/>
              </w:r>
              <w:r w:rsidRPr="004E0F02">
                <w:rPr>
                  <w:rStyle w:val="Hipercze"/>
                  <w:color w:val="auto"/>
                </w:rPr>
                <w:t>2022</w:t>
              </w:r>
            </w:hyperlink>
            <w:r w:rsidRPr="004E0F02">
              <w:t>. Jej celem jest uczynienie</w:t>
            </w:r>
            <w:r w:rsidR="00AF626C" w:rsidRPr="004E0F02">
              <w:t xml:space="preserve"> z </w:t>
            </w:r>
            <w:r w:rsidRPr="004E0F02">
              <w:t>Irlandii lidera</w:t>
            </w:r>
            <w:r w:rsidR="00AF626C" w:rsidRPr="004E0F02">
              <w:t xml:space="preserve"> w </w:t>
            </w:r>
            <w:r w:rsidRPr="004E0F02">
              <w:t>zakresie otwartości danych. Strategia zakłada zwiększenie publikowania danych publicznych wysokiej wartości</w:t>
            </w:r>
            <w:r w:rsidR="00AF626C" w:rsidRPr="004E0F02">
              <w:t xml:space="preserve"> w </w:t>
            </w:r>
            <w:r w:rsidRPr="004E0F02">
              <w:t>otwartym formacie, aby były</w:t>
            </w:r>
            <w:r w:rsidR="00AF626C" w:rsidRPr="004E0F02">
              <w:t xml:space="preserve"> w </w:t>
            </w:r>
            <w:r w:rsidRPr="004E0F02">
              <w:t>pełni dostępne do ponownego wykorzystania. Dane mają być domyślnie otwarte</w:t>
            </w:r>
            <w:r w:rsidR="00AF626C" w:rsidRPr="004E0F02">
              <w:t xml:space="preserve"> i </w:t>
            </w:r>
            <w:r w:rsidRPr="004E0F02">
              <w:t>wysokiej jakości (dokładne, wiarygodne, interoperacyjne</w:t>
            </w:r>
            <w:r w:rsidR="00AF626C" w:rsidRPr="004E0F02">
              <w:t xml:space="preserve"> i </w:t>
            </w:r>
            <w:r w:rsidRPr="004E0F02">
              <w:t>aktualizowane</w:t>
            </w:r>
            <w:r w:rsidR="00AF626C" w:rsidRPr="004E0F02">
              <w:t xml:space="preserve"> w </w:t>
            </w:r>
            <w:r w:rsidRPr="004E0F02">
              <w:t>regularnych odstępach czasu). Każdy podmiot publiczny zobowiązany jest do przeprowadzania audytu posiadanych zasobów danych oraz do przyjęcia planu otwierania danych, który powinien nadawać priorytet otwieraniu danych wysokiej wartości. Katalog podmiotów zobowiązanych do otwierania danych ma zostać poszerzony</w:t>
            </w:r>
            <w:r w:rsidR="00AF626C" w:rsidRPr="004E0F02">
              <w:t xml:space="preserve"> i </w:t>
            </w:r>
            <w:r w:rsidRPr="004E0F02">
              <w:t>objąć publiczne szkoły wyższe oraz dane badawcze finansowane ze środków publicznych.</w:t>
            </w:r>
          </w:p>
          <w:p w14:paraId="676FD4C4" w14:textId="77777777" w:rsidR="00CE2D18" w:rsidRPr="004E0F02" w:rsidRDefault="00CE2D18" w:rsidP="009A0D0F">
            <w:pPr>
              <w:spacing w:line="240" w:lineRule="auto"/>
              <w:jc w:val="both"/>
            </w:pPr>
            <w:r w:rsidRPr="004E0F02">
              <w:t xml:space="preserve">Również we </w:t>
            </w:r>
            <w:r w:rsidRPr="004E0F02">
              <w:rPr>
                <w:b/>
              </w:rPr>
              <w:t>Francji</w:t>
            </w:r>
            <w:r w:rsidRPr="004E0F02">
              <w:t xml:space="preserve"> rozwiązania</w:t>
            </w:r>
            <w:r w:rsidR="00AF626C" w:rsidRPr="004E0F02">
              <w:t xml:space="preserve"> w </w:t>
            </w:r>
            <w:r w:rsidRPr="004E0F02">
              <w:t xml:space="preserve">zakresie otwartości danych znacząco wykraczają poza wymogi ustanowione w dyrektywie. </w:t>
            </w:r>
          </w:p>
          <w:p w14:paraId="48425D69" w14:textId="7F0FDD19" w:rsidR="00CE2D18" w:rsidRPr="004E0F02" w:rsidRDefault="00CE2D18" w:rsidP="009A0D0F">
            <w:pPr>
              <w:spacing w:line="240" w:lineRule="auto"/>
              <w:jc w:val="both"/>
            </w:pPr>
            <w:r w:rsidRPr="004E0F02">
              <w:t>Zarówno ustawa</w:t>
            </w:r>
            <w:r w:rsidR="00E45B1D" w:rsidRPr="004E0F02">
              <w:t xml:space="preserve"> nr </w:t>
            </w:r>
            <w:r w:rsidRPr="004E0F02">
              <w:t>201</w:t>
            </w:r>
            <w:r w:rsidR="00E45B1D" w:rsidRPr="004E0F02">
              <w:t>5</w:t>
            </w:r>
            <w:r w:rsidR="00E45B1D" w:rsidRPr="004E0F02">
              <w:noBreakHyphen/>
            </w:r>
            <w:r w:rsidRPr="004E0F02">
              <w:t>177</w:t>
            </w:r>
            <w:r w:rsidR="00AF626C" w:rsidRPr="004E0F02">
              <w:t>9 z </w:t>
            </w:r>
            <w:r w:rsidRPr="004E0F02">
              <w:t>201</w:t>
            </w:r>
            <w:r w:rsidR="00AF626C" w:rsidRPr="004E0F02">
              <w:t>5 </w:t>
            </w:r>
            <w:r w:rsidRPr="004E0F02">
              <w:t>r. (</w:t>
            </w:r>
            <w:r w:rsidRPr="004E0F02">
              <w:rPr>
                <w:i/>
              </w:rPr>
              <w:t>Loi relative à la gratuité et aux modalités de la réutilisation des information du secteur public</w:t>
            </w:r>
            <w:r w:rsidRPr="004E0F02">
              <w:t xml:space="preserve"> znana również jako Loi Valter), jak</w:t>
            </w:r>
            <w:r w:rsidR="00AF626C" w:rsidRPr="004E0F02">
              <w:t xml:space="preserve"> i </w:t>
            </w:r>
            <w:r w:rsidRPr="004E0F02">
              <w:t>ustawa</w:t>
            </w:r>
            <w:r w:rsidR="00E45B1D" w:rsidRPr="004E0F02">
              <w:t xml:space="preserve"> nr </w:t>
            </w:r>
            <w:r w:rsidRPr="004E0F02">
              <w:t>201</w:t>
            </w:r>
            <w:r w:rsidR="00E45B1D" w:rsidRPr="004E0F02">
              <w:t>6</w:t>
            </w:r>
            <w:r w:rsidR="00E45B1D" w:rsidRPr="004E0F02">
              <w:noBreakHyphen/>
            </w:r>
            <w:r w:rsidRPr="004E0F02">
              <w:t>132</w:t>
            </w:r>
            <w:r w:rsidR="00AF626C" w:rsidRPr="004E0F02">
              <w:t>1 z </w:t>
            </w:r>
            <w:r w:rsidRPr="004E0F02">
              <w:t>201</w:t>
            </w:r>
            <w:r w:rsidR="00AF626C" w:rsidRPr="004E0F02">
              <w:t>6 </w:t>
            </w:r>
            <w:r w:rsidRPr="004E0F02">
              <w:t>r. (</w:t>
            </w:r>
            <w:r w:rsidRPr="004E0F02">
              <w:rPr>
                <w:i/>
              </w:rPr>
              <w:t>Loi pour une République numérique</w:t>
            </w:r>
            <w:r w:rsidRPr="004E0F02">
              <w:t xml:space="preserve"> znana również jako Loi Lemaire) wprowadziły zasadę domyślnej bezpłatności oraz zasadę domyślnej otwartości.</w:t>
            </w:r>
          </w:p>
          <w:p w14:paraId="350668CD" w14:textId="77777777" w:rsidR="00CE2D18" w:rsidRPr="004E0F02" w:rsidRDefault="00CE2D18" w:rsidP="009A0D0F">
            <w:pPr>
              <w:spacing w:line="240" w:lineRule="auto"/>
              <w:jc w:val="both"/>
            </w:pPr>
            <w:r w:rsidRPr="004E0F02">
              <w:t>Zarówno organy sektora publicznego, jak</w:t>
            </w:r>
            <w:r w:rsidR="00AF626C" w:rsidRPr="004E0F02">
              <w:t xml:space="preserve"> i </w:t>
            </w:r>
            <w:r w:rsidRPr="004E0F02">
              <w:t xml:space="preserve">przedsiębiorstwa publiczne oraz podmioty </w:t>
            </w:r>
            <w:r w:rsidRPr="004E0F02">
              <w:lastRenderedPageBreak/>
              <w:t>prywatne realizujące zadania publiczne, mają obowiązek publikowania online, bezpłatnie oraz</w:t>
            </w:r>
            <w:r w:rsidR="00AF626C" w:rsidRPr="004E0F02">
              <w:t xml:space="preserve"> w </w:t>
            </w:r>
            <w:r w:rsidRPr="004E0F02">
              <w:t>otwartym formacie wszystkich (z nielicznymi wyjątkami) zasobów stanowiących informacje sektora publicznego, które dostępne są</w:t>
            </w:r>
            <w:r w:rsidR="00AF626C" w:rsidRPr="004E0F02">
              <w:t xml:space="preserve"> w </w:t>
            </w:r>
            <w:r w:rsidRPr="004E0F02">
              <w:t>formie elektronicznej, wraz</w:t>
            </w:r>
            <w:r w:rsidR="00AF626C" w:rsidRPr="004E0F02">
              <w:t xml:space="preserve"> z </w:t>
            </w:r>
            <w:r w:rsidRPr="004E0F02">
              <w:t>ich kodami źródłowymi. Przykłady takich zasobów to: posiadane przez te podmioty bazy danych; dokumenty już przekazane na wniosek</w:t>
            </w:r>
            <w:r w:rsidR="00AF626C" w:rsidRPr="004E0F02">
              <w:t xml:space="preserve"> o </w:t>
            </w:r>
            <w:r w:rsidRPr="004E0F02">
              <w:t>dostęp do informacji publicznej; dane</w:t>
            </w:r>
            <w:r w:rsidR="00AF626C" w:rsidRPr="004E0F02">
              <w:t xml:space="preserve"> o </w:t>
            </w:r>
            <w:r w:rsidRPr="004E0F02">
              <w:t xml:space="preserve">znaczeniu gospodarczym, społecznym, zdrowotnym lub środowiskowym oraz algorytmy wykorzystywane przy podejmowaniu decyzji administracyjnych (dotyczące np. sposobów obliczania podatków czy przydziału uczniów do szkół). Dane te mogą być następnie ponownie wykorzystywane. Ustawa </w:t>
            </w:r>
            <w:r w:rsidRPr="004E0F02">
              <w:rPr>
                <w:i/>
              </w:rPr>
              <w:t>loi numerique</w:t>
            </w:r>
            <w:r w:rsidRPr="004E0F02">
              <w:t xml:space="preserve"> wprowadza ponadto pojęcie danych mających znaczenie dla interesu publicznego, które również muszą być udostępniane zarówno przez podmioty publiczne, jak</w:t>
            </w:r>
            <w:r w:rsidR="00AF626C" w:rsidRPr="004E0F02">
              <w:t xml:space="preserve"> i </w:t>
            </w:r>
            <w:r w:rsidRPr="004E0F02">
              <w:t>prywatne. Są to dane dotyczące wykonywania usług publicznych (w transporcie, gospodarce wodnej, gospodarowaniu odpadami itp.), dane dotyczące dotacji publicznych powyżej pewnego progu, dane dot. użytkowania energii.</w:t>
            </w:r>
          </w:p>
          <w:p w14:paraId="51EF4A47" w14:textId="77777777" w:rsidR="00CE2D18" w:rsidRPr="004E0F02" w:rsidRDefault="00CE2D18" w:rsidP="009A0D0F">
            <w:pPr>
              <w:spacing w:line="240" w:lineRule="auto"/>
              <w:jc w:val="both"/>
            </w:pPr>
            <w:r w:rsidRPr="004E0F02">
              <w:t xml:space="preserve">Postanowienia </w:t>
            </w:r>
            <w:r w:rsidRPr="004E0F02">
              <w:rPr>
                <w:i/>
              </w:rPr>
              <w:t>loi numerique</w:t>
            </w:r>
            <w:r w:rsidRPr="004E0F02">
              <w:t xml:space="preserve"> mają również na celu ułatwienie dostępu do danych badawczych. Wyniki badań naukowych finansowanych</w:t>
            </w:r>
            <w:r w:rsidR="00AF626C" w:rsidRPr="004E0F02">
              <w:t xml:space="preserve"> w </w:t>
            </w:r>
            <w:r w:rsidRPr="004E0F02">
              <w:t>min. 5</w:t>
            </w:r>
            <w:r w:rsidR="00AF626C" w:rsidRPr="004E0F02">
              <w:t>0 </w:t>
            </w:r>
            <w:r w:rsidRPr="004E0F02">
              <w:t>% ze środków publicznych mogą być udostępniane bezpłatnie</w:t>
            </w:r>
            <w:r w:rsidR="00AF626C" w:rsidRPr="004E0F02">
              <w:t xml:space="preserve"> w </w:t>
            </w:r>
            <w:r w:rsidRPr="004E0F02">
              <w:t>otwartym formacie</w:t>
            </w:r>
            <w:r w:rsidR="00AF626C" w:rsidRPr="004E0F02">
              <w:t xml:space="preserve"> w </w:t>
            </w:r>
            <w:r w:rsidRPr="004E0F02">
              <w:t xml:space="preserve">formie cyfrowej po </w:t>
            </w:r>
            <w:r w:rsidR="00AF626C" w:rsidRPr="004E0F02">
              <w:t>6 </w:t>
            </w:r>
            <w:r w:rsidRPr="004E0F02">
              <w:t>miesiącach od ich pierwszej publikacji</w:t>
            </w:r>
            <w:r w:rsidR="00AF626C" w:rsidRPr="004E0F02">
              <w:t xml:space="preserve"> w </w:t>
            </w:r>
            <w:r w:rsidRPr="004E0F02">
              <w:t>przypadku nauk ścisłych</w:t>
            </w:r>
            <w:r w:rsidR="00AF626C" w:rsidRPr="004E0F02">
              <w:t xml:space="preserve"> i </w:t>
            </w:r>
            <w:r w:rsidRPr="004E0F02">
              <w:t>medycznych</w:t>
            </w:r>
            <w:r w:rsidR="00AF626C" w:rsidRPr="004E0F02">
              <w:t xml:space="preserve"> i </w:t>
            </w:r>
            <w:r w:rsidRPr="004E0F02">
              <w:t>po 1</w:t>
            </w:r>
            <w:r w:rsidR="00AF626C" w:rsidRPr="004E0F02">
              <w:t>2 </w:t>
            </w:r>
            <w:r w:rsidRPr="004E0F02">
              <w:t>miesiącach w przypadku nauk humanistycznych.</w:t>
            </w:r>
          </w:p>
          <w:p w14:paraId="23430116" w14:textId="7B4595C7" w:rsidR="00CE2D18" w:rsidRPr="004E0F02" w:rsidRDefault="00CE2D18" w:rsidP="009A0D0F">
            <w:pPr>
              <w:spacing w:line="240" w:lineRule="auto"/>
              <w:jc w:val="both"/>
            </w:pPr>
            <w:r w:rsidRPr="004E0F02">
              <w:t xml:space="preserve">Przepisy </w:t>
            </w:r>
            <w:r w:rsidRPr="004E0F02">
              <w:rPr>
                <w:i/>
              </w:rPr>
              <w:t>loi numerique</w:t>
            </w:r>
            <w:r w:rsidRPr="004E0F02">
              <w:t xml:space="preserve"> ułatwiają ponadto dostęp do danych</w:t>
            </w:r>
            <w:r w:rsidR="00AF626C" w:rsidRPr="004E0F02">
              <w:t xml:space="preserve"> w </w:t>
            </w:r>
            <w:r w:rsidRPr="004E0F02">
              <w:t xml:space="preserve">celu badań naukowych </w:t>
            </w:r>
            <w:r w:rsidR="00E45B1D" w:rsidRPr="004E0F02">
              <w:noBreakHyphen/>
              <w:t xml:space="preserve"> </w:t>
            </w:r>
            <w:r w:rsidRPr="004E0F02">
              <w:t>pracownicy publicznych instytucji badawczych mogą wykonywać kopie danych</w:t>
            </w:r>
            <w:r w:rsidR="00AF626C" w:rsidRPr="004E0F02">
              <w:t xml:space="preserve"> z </w:t>
            </w:r>
            <w:r w:rsidRPr="004E0F02">
              <w:t>baz danych</w:t>
            </w:r>
            <w:r w:rsidR="00AF626C" w:rsidRPr="004E0F02">
              <w:t xml:space="preserve"> i </w:t>
            </w:r>
            <w:r w:rsidRPr="004E0F02">
              <w:t>opracowań naukowych</w:t>
            </w:r>
            <w:r w:rsidR="00AF626C" w:rsidRPr="004E0F02">
              <w:t xml:space="preserve"> w </w:t>
            </w:r>
            <w:r w:rsidRPr="004E0F02">
              <w:t>celu analizy tekstów lub danych (text and data mining).</w:t>
            </w:r>
          </w:p>
          <w:p w14:paraId="399F310C" w14:textId="378FEC01" w:rsidR="00CE2D18" w:rsidRPr="004E0F02" w:rsidRDefault="00CE2D18" w:rsidP="009A0D0F">
            <w:pPr>
              <w:spacing w:line="240" w:lineRule="auto"/>
              <w:jc w:val="both"/>
            </w:pPr>
            <w:r w:rsidRPr="004E0F02">
              <w:t>Ponadto, francuski portal otwartych danych (</w:t>
            </w:r>
            <w:r w:rsidRPr="004E0F02">
              <w:rPr>
                <w:i/>
              </w:rPr>
              <w:t>www.data.gouv.fr</w:t>
            </w:r>
            <w:r w:rsidRPr="004E0F02">
              <w:t>) oferuje wiele funkcjonalności. Umożliwia interakcję między podmiotami publikującymi</w:t>
            </w:r>
            <w:r w:rsidR="00AF626C" w:rsidRPr="004E0F02">
              <w:t xml:space="preserve"> i </w:t>
            </w:r>
            <w:r w:rsidRPr="004E0F02">
              <w:t>użytkownikami. Odwiedzający portal mają możliwość przekazywania informacji zwrotnych odnoszących się do każdego zestawu danych, kontaktu</w:t>
            </w:r>
            <w:r w:rsidR="00AF626C" w:rsidRPr="004E0F02">
              <w:t xml:space="preserve"> z </w:t>
            </w:r>
            <w:r w:rsidRPr="004E0F02">
              <w:t>podmiotami publikującymi dane</w:t>
            </w:r>
            <w:r w:rsidR="00AF626C" w:rsidRPr="004E0F02">
              <w:t xml:space="preserve"> i </w:t>
            </w:r>
            <w:r w:rsidRPr="004E0F02">
              <w:t>zgłaszania błędów. Użytkownicy mogą również tworzyć profile, dzięki którym mają</w:t>
            </w:r>
            <w:r w:rsidR="00AF626C" w:rsidRPr="004E0F02">
              <w:t xml:space="preserve"> z </w:t>
            </w:r>
            <w:r w:rsidRPr="004E0F02">
              <w:t>kolei możliwość obserwowania podmiotów publikujących</w:t>
            </w:r>
            <w:r w:rsidR="00AF626C" w:rsidRPr="004E0F02">
              <w:t xml:space="preserve"> i </w:t>
            </w:r>
            <w:r w:rsidRPr="004E0F02">
              <w:t>podglądu statystyk nt. ich aktywności. Użytkownicy mogą spersonalizować ustawienia</w:t>
            </w:r>
            <w:r w:rsidR="00AF626C" w:rsidRPr="004E0F02">
              <w:t xml:space="preserve"> i </w:t>
            </w:r>
            <w:r w:rsidRPr="004E0F02">
              <w:t>np. obserwować pojawiające się dane</w:t>
            </w:r>
            <w:r w:rsidR="00AF626C" w:rsidRPr="004E0F02">
              <w:t xml:space="preserve"> w </w:t>
            </w:r>
            <w:r w:rsidRPr="004E0F02">
              <w:t>ramach zakresu własnych zainteresowań. Dane mające znaczenie dla interesu gospodarczego i społecznego muszą być obowiązkowo aktualizowane na portalu.</w:t>
            </w:r>
          </w:p>
          <w:p w14:paraId="2B296317" w14:textId="77777777" w:rsidR="00CE2D18" w:rsidRPr="004E0F02" w:rsidRDefault="00CE2D18" w:rsidP="009A0D0F">
            <w:pPr>
              <w:spacing w:line="240" w:lineRule="auto"/>
              <w:jc w:val="both"/>
            </w:pPr>
            <w:r w:rsidRPr="004E0F02">
              <w:t xml:space="preserve">We </w:t>
            </w:r>
            <w:r w:rsidRPr="004E0F02">
              <w:rPr>
                <w:b/>
              </w:rPr>
              <w:t xml:space="preserve">Włoszech, </w:t>
            </w:r>
            <w:r w:rsidRPr="004E0F02">
              <w:t>zgodnie</w:t>
            </w:r>
            <w:r w:rsidR="00AF626C" w:rsidRPr="004E0F02">
              <w:t xml:space="preserve"> z </w:t>
            </w:r>
            <w:r w:rsidRPr="004E0F02">
              <w:t>dekretem ustawodawczym 97/201</w:t>
            </w:r>
            <w:r w:rsidR="00AF626C" w:rsidRPr="004E0F02">
              <w:t>6 </w:t>
            </w:r>
            <w:r w:rsidRPr="004E0F02">
              <w:t>podmioty sektora publicznego są zobowiązane do publikowania wszystkich dokumentów</w:t>
            </w:r>
            <w:r w:rsidR="00AF626C" w:rsidRPr="004E0F02">
              <w:t xml:space="preserve"> i </w:t>
            </w:r>
            <w:r w:rsidRPr="004E0F02">
              <w:t>danych</w:t>
            </w:r>
            <w:r w:rsidR="00AF626C" w:rsidRPr="004E0F02">
              <w:t xml:space="preserve"> o </w:t>
            </w:r>
            <w:r w:rsidRPr="004E0F02">
              <w:t>dużym znaczeniu publicznym na swoich stronach internetowych.</w:t>
            </w:r>
          </w:p>
          <w:p w14:paraId="2856B86D" w14:textId="275DADD1" w:rsidR="00CE2D18" w:rsidRPr="004E0F02" w:rsidRDefault="00CE2D18" w:rsidP="009A0D0F">
            <w:pPr>
              <w:pStyle w:val="Default"/>
              <w:jc w:val="both"/>
              <w:rPr>
                <w:rFonts w:ascii="Times New Roman" w:hAnsi="Times New Roman" w:cs="Times New Roman"/>
                <w:color w:val="auto"/>
                <w:sz w:val="22"/>
                <w:szCs w:val="22"/>
              </w:rPr>
            </w:pPr>
            <w:r w:rsidRPr="004E0F02">
              <w:rPr>
                <w:rFonts w:ascii="Times New Roman" w:hAnsi="Times New Roman" w:cs="Times New Roman"/>
                <w:color w:val="auto"/>
                <w:sz w:val="22"/>
                <w:szCs w:val="22"/>
              </w:rPr>
              <w:t>Również instytucje badawcze</w:t>
            </w:r>
            <w:r w:rsidR="00AF626C" w:rsidRPr="004E0F02">
              <w:rPr>
                <w:rFonts w:ascii="Times New Roman" w:hAnsi="Times New Roman" w:cs="Times New Roman"/>
                <w:color w:val="auto"/>
                <w:sz w:val="22"/>
                <w:szCs w:val="22"/>
              </w:rPr>
              <w:t xml:space="preserve"> i </w:t>
            </w:r>
            <w:r w:rsidRPr="004E0F02">
              <w:rPr>
                <w:rFonts w:ascii="Times New Roman" w:hAnsi="Times New Roman" w:cs="Times New Roman"/>
                <w:color w:val="auto"/>
                <w:sz w:val="22"/>
                <w:szCs w:val="22"/>
              </w:rPr>
              <w:t>szkoły wyższe mają obowiązek zapewnienia otwartego dostępu do artykułów naukowych, które prezentują wyniki badań finansowanych</w:t>
            </w:r>
            <w:r w:rsidR="00AF626C" w:rsidRPr="004E0F02">
              <w:rPr>
                <w:rFonts w:ascii="Times New Roman" w:hAnsi="Times New Roman" w:cs="Times New Roman"/>
                <w:color w:val="auto"/>
                <w:sz w:val="22"/>
                <w:szCs w:val="22"/>
              </w:rPr>
              <w:t xml:space="preserve"> w </w:t>
            </w:r>
            <w:r w:rsidRPr="004E0F02">
              <w:rPr>
                <w:rFonts w:ascii="Times New Roman" w:hAnsi="Times New Roman" w:cs="Times New Roman"/>
                <w:color w:val="auto"/>
                <w:sz w:val="22"/>
                <w:szCs w:val="22"/>
              </w:rPr>
              <w:t>co najmniej 50% ze środków publicznych (</w:t>
            </w:r>
            <w:r w:rsidRPr="004E0F02">
              <w:rPr>
                <w:rFonts w:ascii="Times New Roman" w:hAnsi="Times New Roman" w:cs="Times New Roman"/>
                <w:i/>
                <w:iCs/>
                <w:color w:val="auto"/>
                <w:sz w:val="22"/>
                <w:szCs w:val="22"/>
              </w:rPr>
              <w:t xml:space="preserve">Legge </w:t>
            </w:r>
            <w:r w:rsidR="00AF626C" w:rsidRPr="004E0F02">
              <w:rPr>
                <w:rFonts w:ascii="Times New Roman" w:hAnsi="Times New Roman" w:cs="Times New Roman"/>
                <w:i/>
                <w:iCs/>
                <w:color w:val="auto"/>
                <w:sz w:val="22"/>
                <w:szCs w:val="22"/>
              </w:rPr>
              <w:t>7 </w:t>
            </w:r>
            <w:r w:rsidRPr="004E0F02">
              <w:rPr>
                <w:rFonts w:ascii="Times New Roman" w:hAnsi="Times New Roman" w:cs="Times New Roman"/>
                <w:i/>
                <w:iCs/>
                <w:color w:val="auto"/>
                <w:sz w:val="22"/>
                <w:szCs w:val="22"/>
              </w:rPr>
              <w:t>ottobre 2013, n. 112, Disposizioni urgenti per la tutela, la valorizzazione e il rilancio dei beni e delle attività culturali e del turismo</w:t>
            </w:r>
            <w:r w:rsidRPr="004E0F02">
              <w:rPr>
                <w:rFonts w:ascii="Times New Roman" w:hAnsi="Times New Roman" w:cs="Times New Roman"/>
                <w:color w:val="auto"/>
                <w:sz w:val="22"/>
                <w:szCs w:val="22"/>
              </w:rPr>
              <w:t>).</w:t>
            </w:r>
          </w:p>
          <w:p w14:paraId="21EDF827" w14:textId="77777777" w:rsidR="00CE2D18" w:rsidRPr="004E0F02" w:rsidRDefault="00CE2D18" w:rsidP="009A0D0F">
            <w:pPr>
              <w:spacing w:line="240" w:lineRule="auto"/>
              <w:jc w:val="both"/>
            </w:pPr>
            <w:r w:rsidRPr="004E0F02">
              <w:t>Włochy</w:t>
            </w:r>
            <w:r w:rsidR="00AF626C" w:rsidRPr="004E0F02">
              <w:t xml:space="preserve"> w </w:t>
            </w:r>
            <w:r w:rsidRPr="004E0F02">
              <w:t>swojej polityce otwartych danych przyjęły zasadę domyślnej otwartości (</w:t>
            </w:r>
            <w:r w:rsidRPr="004E0F02">
              <w:rPr>
                <w:i/>
              </w:rPr>
              <w:t>open data by default</w:t>
            </w:r>
            <w:r w:rsidRPr="004E0F02">
              <w:t>).</w:t>
            </w:r>
            <w:r w:rsidR="00AF626C" w:rsidRPr="004E0F02">
              <w:t xml:space="preserve"> W </w:t>
            </w:r>
            <w:r w:rsidRPr="004E0F02">
              <w:t>tym celu przyjęto Wytyczne dotyczące rozwoju zasobów informacji publicznej (</w:t>
            </w:r>
            <w:hyperlink r:id="rId14" w:history="1">
              <w:r w:rsidRPr="004E0F02">
                <w:rPr>
                  <w:rStyle w:val="Hipercze"/>
                  <w:i/>
                  <w:color w:val="auto"/>
                </w:rPr>
                <w:t>Guidelines for the Development of the Public Information Heritage</w:t>
              </w:r>
            </w:hyperlink>
            <w:r w:rsidRPr="004E0F02">
              <w:t>), które na bieżąco są aktualizowane. Zawierają one wskazówki</w:t>
            </w:r>
            <w:r w:rsidR="00AF626C" w:rsidRPr="004E0F02">
              <w:t xml:space="preserve"> i </w:t>
            </w:r>
            <w:r w:rsidRPr="004E0F02">
              <w:t>ustanawiają standardy otwierania danych</w:t>
            </w:r>
            <w:r w:rsidR="00AF626C" w:rsidRPr="004E0F02">
              <w:t xml:space="preserve"> w </w:t>
            </w:r>
            <w:r w:rsidRPr="004E0F02">
              <w:t>sektorze publicznym, np.</w:t>
            </w:r>
            <w:r w:rsidR="00AF626C" w:rsidRPr="004E0F02">
              <w:t xml:space="preserve"> w </w:t>
            </w:r>
            <w:r w:rsidRPr="004E0F02">
              <w:t>zakresie struktury architektury danych publicznych, publikowania danych wysokiej jakości, przestrzegania międzynarodowych standardów lub korzystania</w:t>
            </w:r>
            <w:r w:rsidR="00AF626C" w:rsidRPr="004E0F02">
              <w:t xml:space="preserve"> z </w:t>
            </w:r>
            <w:r w:rsidRPr="004E0F02">
              <w:t>otwartych licencji.</w:t>
            </w:r>
          </w:p>
        </w:tc>
      </w:tr>
      <w:tr w:rsidR="00CE2D18" w:rsidRPr="004E0F02" w14:paraId="3622F76D" w14:textId="77777777" w:rsidTr="0001659E">
        <w:trPr>
          <w:trHeight w:val="359"/>
        </w:trPr>
        <w:tc>
          <w:tcPr>
            <w:tcW w:w="5000" w:type="pct"/>
            <w:gridSpan w:val="27"/>
            <w:shd w:val="clear" w:color="auto" w:fill="99CCFF"/>
            <w:vAlign w:val="center"/>
          </w:tcPr>
          <w:p w14:paraId="11A9B21F" w14:textId="77777777" w:rsidR="00CE2D18" w:rsidRPr="004E0F02" w:rsidRDefault="00CE2D18" w:rsidP="009346F9">
            <w:pPr>
              <w:widowControl/>
              <w:numPr>
                <w:ilvl w:val="0"/>
                <w:numId w:val="1"/>
              </w:numPr>
              <w:autoSpaceDE/>
              <w:autoSpaceDN/>
              <w:adjustRightInd/>
              <w:spacing w:before="60" w:after="60" w:line="240" w:lineRule="auto"/>
              <w:ind w:left="318" w:hanging="284"/>
              <w:jc w:val="both"/>
              <w:rPr>
                <w:b/>
              </w:rPr>
            </w:pPr>
            <w:r w:rsidRPr="004E0F02">
              <w:rPr>
                <w:b/>
              </w:rPr>
              <w:lastRenderedPageBreak/>
              <w:t>Podmioty, na które oddziałuje projekt</w:t>
            </w:r>
          </w:p>
        </w:tc>
      </w:tr>
      <w:tr w:rsidR="00CE2D18" w:rsidRPr="004E0F02" w14:paraId="3379A6E3" w14:textId="77777777" w:rsidTr="00584B45">
        <w:trPr>
          <w:trHeight w:val="142"/>
        </w:trPr>
        <w:tc>
          <w:tcPr>
            <w:tcW w:w="1338" w:type="pct"/>
            <w:gridSpan w:val="3"/>
            <w:shd w:val="clear" w:color="auto" w:fill="auto"/>
          </w:tcPr>
          <w:p w14:paraId="767AD1DB" w14:textId="77777777" w:rsidR="00CE2D18" w:rsidRPr="004E0F02" w:rsidRDefault="00CE2D18" w:rsidP="009A0D0F">
            <w:pPr>
              <w:spacing w:before="40" w:line="240" w:lineRule="auto"/>
              <w:jc w:val="center"/>
              <w:rPr>
                <w:spacing w:val="-2"/>
              </w:rPr>
            </w:pPr>
            <w:r w:rsidRPr="004E0F02">
              <w:rPr>
                <w:spacing w:val="-2"/>
              </w:rPr>
              <w:t>Grupa</w:t>
            </w:r>
          </w:p>
        </w:tc>
        <w:tc>
          <w:tcPr>
            <w:tcW w:w="1638" w:type="pct"/>
            <w:gridSpan w:val="12"/>
            <w:shd w:val="clear" w:color="auto" w:fill="auto"/>
          </w:tcPr>
          <w:p w14:paraId="60D1C6C7" w14:textId="77777777" w:rsidR="00CE2D18" w:rsidRPr="004E0F02" w:rsidRDefault="00CE2D18" w:rsidP="009A0D0F">
            <w:pPr>
              <w:spacing w:before="40" w:line="240" w:lineRule="auto"/>
              <w:jc w:val="center"/>
              <w:rPr>
                <w:spacing w:val="-2"/>
              </w:rPr>
            </w:pPr>
            <w:r w:rsidRPr="004E0F02">
              <w:rPr>
                <w:spacing w:val="-2"/>
              </w:rPr>
              <w:t>Wielkość</w:t>
            </w:r>
          </w:p>
        </w:tc>
        <w:tc>
          <w:tcPr>
            <w:tcW w:w="1096" w:type="pct"/>
            <w:gridSpan w:val="8"/>
            <w:shd w:val="clear" w:color="auto" w:fill="auto"/>
          </w:tcPr>
          <w:p w14:paraId="6AC3A2D2" w14:textId="77777777" w:rsidR="00CE2D18" w:rsidRPr="004E0F02" w:rsidRDefault="00CE2D18" w:rsidP="009A0D0F">
            <w:pPr>
              <w:spacing w:before="40" w:line="240" w:lineRule="auto"/>
              <w:jc w:val="center"/>
              <w:rPr>
                <w:spacing w:val="-2"/>
              </w:rPr>
            </w:pPr>
            <w:r w:rsidRPr="004E0F02">
              <w:rPr>
                <w:spacing w:val="-2"/>
              </w:rPr>
              <w:t>Źródło danych</w:t>
            </w:r>
            <w:r w:rsidRPr="004E0F02" w:rsidDel="00260F33">
              <w:rPr>
                <w:spacing w:val="-2"/>
              </w:rPr>
              <w:t xml:space="preserve"> </w:t>
            </w:r>
          </w:p>
        </w:tc>
        <w:tc>
          <w:tcPr>
            <w:tcW w:w="928" w:type="pct"/>
            <w:gridSpan w:val="4"/>
            <w:shd w:val="clear" w:color="auto" w:fill="auto"/>
          </w:tcPr>
          <w:p w14:paraId="6E4A4D05" w14:textId="77777777" w:rsidR="00CE2D18" w:rsidRPr="004E0F02" w:rsidRDefault="00CE2D18" w:rsidP="009A0D0F">
            <w:pPr>
              <w:spacing w:before="40" w:line="240" w:lineRule="auto"/>
              <w:jc w:val="center"/>
              <w:rPr>
                <w:spacing w:val="-2"/>
              </w:rPr>
            </w:pPr>
            <w:r w:rsidRPr="004E0F02">
              <w:rPr>
                <w:spacing w:val="-2"/>
              </w:rPr>
              <w:t>Oddziaływanie</w:t>
            </w:r>
          </w:p>
        </w:tc>
      </w:tr>
      <w:tr w:rsidR="00F90587" w:rsidRPr="004E0F02" w14:paraId="26E11F82" w14:textId="77777777" w:rsidTr="00584B45">
        <w:trPr>
          <w:trHeight w:val="142"/>
        </w:trPr>
        <w:tc>
          <w:tcPr>
            <w:tcW w:w="1338" w:type="pct"/>
            <w:gridSpan w:val="3"/>
            <w:shd w:val="clear" w:color="auto" w:fill="auto"/>
          </w:tcPr>
          <w:p w14:paraId="5D0425DC" w14:textId="77777777" w:rsidR="00F90587" w:rsidRPr="004E0F02" w:rsidRDefault="00F90587" w:rsidP="009A0D0F">
            <w:pPr>
              <w:tabs>
                <w:tab w:val="left" w:pos="1560"/>
              </w:tabs>
              <w:spacing w:line="240" w:lineRule="auto"/>
            </w:pPr>
            <w:r w:rsidRPr="004E0F02">
              <w:lastRenderedPageBreak/>
              <w:t>Przedsiębiorstwa publiczne działające w obszarze usług pocztowych</w:t>
            </w:r>
          </w:p>
        </w:tc>
        <w:tc>
          <w:tcPr>
            <w:tcW w:w="1638" w:type="pct"/>
            <w:gridSpan w:val="12"/>
            <w:shd w:val="clear" w:color="auto" w:fill="auto"/>
          </w:tcPr>
          <w:p w14:paraId="032D4922" w14:textId="77777777" w:rsidR="00F90587" w:rsidRPr="004E0F02" w:rsidRDefault="00F90587" w:rsidP="009A0D0F">
            <w:pPr>
              <w:spacing w:line="240" w:lineRule="auto"/>
              <w:rPr>
                <w:spacing w:val="-2"/>
              </w:rPr>
            </w:pPr>
            <w:r w:rsidRPr="004E0F02">
              <w:rPr>
                <w:spacing w:val="-2"/>
              </w:rPr>
              <w:t>1 operator pocztowy – Poczta Polska (ponadto na rynku dział</w:t>
            </w:r>
            <w:r w:rsidR="001A7153" w:rsidRPr="004E0F02">
              <w:rPr>
                <w:spacing w:val="-2"/>
              </w:rPr>
              <w:t>a 145 operatorów, podmiotów nie</w:t>
            </w:r>
            <w:r w:rsidRPr="004E0F02">
              <w:rPr>
                <w:spacing w:val="-2"/>
              </w:rPr>
              <w:t>publicznych: 56 działa na obszarze lokalnym, 45 – krajowym i zagranicznym, 36 – krajowym, 8 – zagranicznym)</w:t>
            </w:r>
          </w:p>
        </w:tc>
        <w:tc>
          <w:tcPr>
            <w:tcW w:w="1096" w:type="pct"/>
            <w:gridSpan w:val="8"/>
            <w:shd w:val="clear" w:color="auto" w:fill="auto"/>
          </w:tcPr>
          <w:p w14:paraId="7B5B5984" w14:textId="77777777" w:rsidR="00F90587" w:rsidRPr="004E0F02" w:rsidRDefault="00F90587" w:rsidP="009A0D0F">
            <w:pPr>
              <w:spacing w:line="240" w:lineRule="auto"/>
              <w:rPr>
                <w:spacing w:val="-2"/>
              </w:rPr>
            </w:pPr>
            <w:r w:rsidRPr="004E0F02">
              <w:rPr>
                <w:spacing w:val="-2"/>
              </w:rPr>
              <w:t>GUS</w:t>
            </w:r>
            <w:r w:rsidRPr="004E0F02">
              <w:rPr>
                <w:rStyle w:val="Odwoanieprzypisudolnego"/>
                <w:spacing w:val="-2"/>
              </w:rPr>
              <w:footnoteReference w:customMarkFollows="1" w:id="43"/>
              <w:t>6)</w:t>
            </w:r>
          </w:p>
        </w:tc>
        <w:tc>
          <w:tcPr>
            <w:tcW w:w="928" w:type="pct"/>
            <w:gridSpan w:val="4"/>
            <w:vMerge w:val="restart"/>
            <w:shd w:val="clear" w:color="auto" w:fill="auto"/>
            <w:vAlign w:val="center"/>
          </w:tcPr>
          <w:p w14:paraId="7A8617AF" w14:textId="042ED3B8" w:rsidR="00F90587" w:rsidRPr="004E0F02" w:rsidRDefault="00580369" w:rsidP="00BA3E42">
            <w:pPr>
              <w:widowControl/>
              <w:autoSpaceDE/>
              <w:autoSpaceDN/>
              <w:adjustRightInd/>
              <w:spacing w:line="240" w:lineRule="auto"/>
              <w:rPr>
                <w:spacing w:val="-2"/>
                <w:sz w:val="20"/>
              </w:rPr>
            </w:pPr>
            <w:r w:rsidRPr="004E0F02">
              <w:rPr>
                <w:spacing w:val="-2"/>
                <w:sz w:val="20"/>
              </w:rPr>
              <w:t>Przedsiębiorstwa publiczne nie będą zobowiązane do udostępniania lub przekazywania informacji sektora publicznego do ponownego wykorzystywania,</w:t>
            </w:r>
            <w:r w:rsidR="00E45B1D" w:rsidRPr="004E0F02">
              <w:rPr>
                <w:spacing w:val="-2"/>
                <w:sz w:val="20"/>
              </w:rPr>
              <w:t xml:space="preserve"> w </w:t>
            </w:r>
            <w:r w:rsidRPr="004E0F02">
              <w:rPr>
                <w:spacing w:val="-2"/>
                <w:sz w:val="20"/>
              </w:rPr>
              <w:t>efekcie nie będą obciążone nowymi obowiązkami</w:t>
            </w:r>
            <w:r w:rsidR="00E45B1D" w:rsidRPr="004E0F02">
              <w:rPr>
                <w:spacing w:val="-2"/>
                <w:sz w:val="20"/>
              </w:rPr>
              <w:t xml:space="preserve"> o </w:t>
            </w:r>
            <w:r w:rsidRPr="004E0F02">
              <w:rPr>
                <w:spacing w:val="-2"/>
                <w:sz w:val="20"/>
              </w:rPr>
              <w:t>charakterze biurokratycznym związanymi</w:t>
            </w:r>
            <w:r w:rsidR="00E45B1D" w:rsidRPr="004E0F02">
              <w:rPr>
                <w:spacing w:val="-2"/>
                <w:sz w:val="20"/>
              </w:rPr>
              <w:t xml:space="preserve"> z </w:t>
            </w:r>
            <w:r w:rsidRPr="004E0F02">
              <w:rPr>
                <w:spacing w:val="-2"/>
                <w:sz w:val="20"/>
              </w:rPr>
              <w:t xml:space="preserve"> obsługą wniosków. Decyzja</w:t>
            </w:r>
            <w:r w:rsidR="00E45B1D" w:rsidRPr="004E0F02">
              <w:rPr>
                <w:spacing w:val="-2"/>
                <w:sz w:val="20"/>
              </w:rPr>
              <w:t xml:space="preserve"> o </w:t>
            </w:r>
            <w:r w:rsidRPr="004E0F02">
              <w:rPr>
                <w:spacing w:val="-2"/>
                <w:sz w:val="20"/>
              </w:rPr>
              <w:t>tym, czy zezwolić na ponowne wykorzystywanie posiadanych informacji pozostanie</w:t>
            </w:r>
            <w:r w:rsidR="00E45B1D" w:rsidRPr="004E0F02">
              <w:rPr>
                <w:spacing w:val="-2"/>
                <w:sz w:val="20"/>
              </w:rPr>
              <w:t xml:space="preserve"> w </w:t>
            </w:r>
            <w:r w:rsidRPr="004E0F02">
              <w:rPr>
                <w:spacing w:val="-2"/>
                <w:sz w:val="20"/>
              </w:rPr>
              <w:t xml:space="preserve">gestii zainteresowanego podmiotu. Dopiero wówczas, gdy przedsiębiorstwo publiczne dobrowolnie udostępni lub przekaże określone dane do ponownego wykorzystywania będzie </w:t>
            </w:r>
            <w:r w:rsidRPr="004E0F02">
              <w:rPr>
                <w:spacing w:val="-2"/>
                <w:sz w:val="20"/>
              </w:rPr>
              <w:lastRenderedPageBreak/>
              <w:t>zobowiązane do przestrzegania odpowiednich obowiązków określonych</w:t>
            </w:r>
            <w:r w:rsidR="00E45B1D" w:rsidRPr="004E0F02">
              <w:rPr>
                <w:spacing w:val="-2"/>
                <w:sz w:val="20"/>
              </w:rPr>
              <w:t xml:space="preserve"> w </w:t>
            </w:r>
            <w:r w:rsidRPr="004E0F02">
              <w:rPr>
                <w:spacing w:val="-2"/>
                <w:sz w:val="20"/>
              </w:rPr>
              <w:t xml:space="preserve">przepisach rozdziałów </w:t>
            </w:r>
            <w:r w:rsidR="00E45B1D" w:rsidRPr="004E0F02">
              <w:rPr>
                <w:spacing w:val="-2"/>
                <w:sz w:val="20"/>
              </w:rPr>
              <w:t>2</w:t>
            </w:r>
            <w:r w:rsidR="00E45B1D" w:rsidRPr="004E0F02">
              <w:rPr>
                <w:spacing w:val="-2"/>
                <w:sz w:val="20"/>
              </w:rPr>
              <w:noBreakHyphen/>
              <w:t>4 </w:t>
            </w:r>
            <w:r w:rsidRPr="004E0F02">
              <w:rPr>
                <w:spacing w:val="-2"/>
                <w:sz w:val="20"/>
              </w:rPr>
              <w:t>projektu ustawy (dot. zasad, warunków oraz o</w:t>
            </w:r>
            <w:r w:rsidR="00F92B5F" w:rsidRPr="004E0F02">
              <w:rPr>
                <w:spacing w:val="-2"/>
                <w:sz w:val="20"/>
              </w:rPr>
              <w:t>płat za ponowne wykorzystywanie</w:t>
            </w:r>
            <w:r w:rsidRPr="004E0F02">
              <w:rPr>
                <w:spacing w:val="-2"/>
                <w:sz w:val="20"/>
              </w:rPr>
              <w:t>. Objęcie przedsiębiorstw publicznych regulacjami ustawy, przy jednoczesnym niewprowadzaniu bezwzględnego obowiązku udostępniania lub przekazywania posiadanych przez takie podmioty informacji, nie wpłynie negatywnie na równość przedsiębiorstw publicznych</w:t>
            </w:r>
            <w:r w:rsidR="00E45B1D" w:rsidRPr="004E0F02">
              <w:rPr>
                <w:spacing w:val="-2"/>
                <w:sz w:val="20"/>
              </w:rPr>
              <w:t xml:space="preserve"> i </w:t>
            </w:r>
            <w:r w:rsidRPr="004E0F02">
              <w:rPr>
                <w:spacing w:val="-2"/>
                <w:sz w:val="20"/>
              </w:rPr>
              <w:t>prywatnych (w tym ich konkurencyjność)</w:t>
            </w:r>
          </w:p>
          <w:p w14:paraId="054799BA" w14:textId="77777777" w:rsidR="00F90587" w:rsidRPr="004E0F02" w:rsidRDefault="00F90587" w:rsidP="00F92B5F">
            <w:pPr>
              <w:spacing w:line="240" w:lineRule="auto"/>
              <w:ind w:left="34"/>
              <w:rPr>
                <w:spacing w:val="-2"/>
              </w:rPr>
            </w:pPr>
          </w:p>
        </w:tc>
      </w:tr>
      <w:tr w:rsidR="00F90587" w:rsidRPr="004E0F02" w14:paraId="3BD50CC8" w14:textId="77777777" w:rsidTr="00584B45">
        <w:trPr>
          <w:trHeight w:val="142"/>
        </w:trPr>
        <w:tc>
          <w:tcPr>
            <w:tcW w:w="1338" w:type="pct"/>
            <w:gridSpan w:val="3"/>
            <w:shd w:val="clear" w:color="auto" w:fill="auto"/>
          </w:tcPr>
          <w:p w14:paraId="258274C7" w14:textId="77777777" w:rsidR="00F90587" w:rsidRPr="004E0F02" w:rsidRDefault="00F90587" w:rsidP="009A0D0F">
            <w:pPr>
              <w:tabs>
                <w:tab w:val="left" w:pos="1560"/>
              </w:tabs>
              <w:spacing w:line="240" w:lineRule="auto"/>
            </w:pPr>
            <w:r w:rsidRPr="004E0F02">
              <w:t>Przedsiębiorstwa publiczne działające w obszarze transportu lotniczego</w:t>
            </w:r>
          </w:p>
        </w:tc>
        <w:tc>
          <w:tcPr>
            <w:tcW w:w="1638" w:type="pct"/>
            <w:gridSpan w:val="12"/>
            <w:shd w:val="clear" w:color="auto" w:fill="auto"/>
          </w:tcPr>
          <w:p w14:paraId="18C6B2C3" w14:textId="77777777" w:rsidR="00F90587" w:rsidRPr="004E0F02" w:rsidRDefault="00F90587" w:rsidP="009A0D0F">
            <w:pPr>
              <w:spacing w:line="240" w:lineRule="auto"/>
              <w:rPr>
                <w:spacing w:val="-2"/>
                <w:lang w:val="en-US"/>
              </w:rPr>
            </w:pPr>
            <w:r w:rsidRPr="004E0F02">
              <w:rPr>
                <w:spacing w:val="-2"/>
                <w:lang w:val="en-US"/>
              </w:rPr>
              <w:t>1 przewoźnik – PLL LOT / PLL LOT Cargo</w:t>
            </w:r>
          </w:p>
        </w:tc>
        <w:tc>
          <w:tcPr>
            <w:tcW w:w="1096" w:type="pct"/>
            <w:gridSpan w:val="8"/>
            <w:shd w:val="clear" w:color="auto" w:fill="auto"/>
          </w:tcPr>
          <w:p w14:paraId="19C4ACB9" w14:textId="77777777" w:rsidR="00F90587" w:rsidRPr="004E0F02" w:rsidRDefault="00F90587" w:rsidP="009A0D0F">
            <w:pPr>
              <w:spacing w:line="240" w:lineRule="auto"/>
              <w:rPr>
                <w:spacing w:val="-2"/>
              </w:rPr>
            </w:pPr>
            <w:r w:rsidRPr="004E0F02">
              <w:rPr>
                <w:spacing w:val="-2"/>
              </w:rPr>
              <w:t>GUS</w:t>
            </w:r>
            <w:r w:rsidRPr="004E0F02">
              <w:rPr>
                <w:rStyle w:val="Odwoanieprzypisudolnego"/>
                <w:spacing w:val="-2"/>
              </w:rPr>
              <w:footnoteReference w:customMarkFollows="1" w:id="44"/>
              <w:t>7)</w:t>
            </w:r>
          </w:p>
        </w:tc>
        <w:tc>
          <w:tcPr>
            <w:tcW w:w="928" w:type="pct"/>
            <w:gridSpan w:val="4"/>
            <w:vMerge/>
            <w:shd w:val="clear" w:color="auto" w:fill="auto"/>
          </w:tcPr>
          <w:p w14:paraId="2922EC6E" w14:textId="77777777" w:rsidR="00F90587" w:rsidRPr="004E0F02" w:rsidRDefault="00F90587" w:rsidP="009346F9">
            <w:pPr>
              <w:pStyle w:val="Akapitzlist"/>
              <w:numPr>
                <w:ilvl w:val="0"/>
                <w:numId w:val="4"/>
              </w:numPr>
              <w:spacing w:line="240" w:lineRule="auto"/>
              <w:ind w:left="300" w:hanging="142"/>
              <w:rPr>
                <w:rFonts w:ascii="Times New Roman" w:hAnsi="Times New Roman"/>
                <w:spacing w:val="-2"/>
              </w:rPr>
            </w:pPr>
          </w:p>
        </w:tc>
      </w:tr>
      <w:tr w:rsidR="00F90587" w:rsidRPr="004E0F02" w14:paraId="4ACF4CD7" w14:textId="77777777" w:rsidTr="00584B45">
        <w:trPr>
          <w:trHeight w:val="142"/>
        </w:trPr>
        <w:tc>
          <w:tcPr>
            <w:tcW w:w="1338" w:type="pct"/>
            <w:gridSpan w:val="3"/>
            <w:shd w:val="clear" w:color="auto" w:fill="auto"/>
          </w:tcPr>
          <w:p w14:paraId="77581FCE" w14:textId="77777777" w:rsidR="00F90587" w:rsidRPr="004E0F02" w:rsidRDefault="00F90587" w:rsidP="009A0D0F">
            <w:pPr>
              <w:tabs>
                <w:tab w:val="left" w:pos="1560"/>
              </w:tabs>
              <w:spacing w:line="240" w:lineRule="auto"/>
            </w:pPr>
            <w:r w:rsidRPr="004E0F02">
              <w:t>Przedsiębiorstwa publiczne działające w obszarze transportu wodnego – morskiego i śródlądowego</w:t>
            </w:r>
          </w:p>
        </w:tc>
        <w:tc>
          <w:tcPr>
            <w:tcW w:w="1638" w:type="pct"/>
            <w:gridSpan w:val="12"/>
            <w:shd w:val="clear" w:color="auto" w:fill="auto"/>
          </w:tcPr>
          <w:p w14:paraId="0AC92929" w14:textId="09CF9819" w:rsidR="00F90587" w:rsidRPr="004E0F02" w:rsidRDefault="00F90587" w:rsidP="009A0D0F">
            <w:pPr>
              <w:spacing w:line="240" w:lineRule="auto"/>
              <w:rPr>
                <w:spacing w:val="-2"/>
              </w:rPr>
            </w:pPr>
            <w:r w:rsidRPr="004E0F02">
              <w:rPr>
                <w:spacing w:val="-2"/>
              </w:rPr>
              <w:t xml:space="preserve">6 (oraz spółki nadzorowane przez MGMiŻŚ – 20, z czego </w:t>
            </w:r>
            <w:r w:rsidR="00E45B1D" w:rsidRPr="004E0F02">
              <w:rPr>
                <w:spacing w:val="-2"/>
              </w:rPr>
              <w:t>2 w </w:t>
            </w:r>
            <w:r w:rsidRPr="004E0F02">
              <w:rPr>
                <w:spacing w:val="-2"/>
              </w:rPr>
              <w:t>likwidacji)</w:t>
            </w:r>
          </w:p>
        </w:tc>
        <w:tc>
          <w:tcPr>
            <w:tcW w:w="1096" w:type="pct"/>
            <w:gridSpan w:val="8"/>
            <w:shd w:val="clear" w:color="auto" w:fill="auto"/>
          </w:tcPr>
          <w:p w14:paraId="623CBF2B" w14:textId="77777777" w:rsidR="00F90587" w:rsidRPr="004E0F02" w:rsidRDefault="00F90587" w:rsidP="009A0D0F">
            <w:pPr>
              <w:spacing w:line="240" w:lineRule="auto"/>
              <w:rPr>
                <w:spacing w:val="-2"/>
              </w:rPr>
            </w:pPr>
            <w:r w:rsidRPr="004E0F02">
              <w:rPr>
                <w:spacing w:val="-2"/>
              </w:rPr>
              <w:t>GUS</w:t>
            </w:r>
            <w:r w:rsidRPr="004E0F02">
              <w:rPr>
                <w:rStyle w:val="Odwoanieprzypisudolnego"/>
                <w:spacing w:val="-2"/>
              </w:rPr>
              <w:footnoteReference w:customMarkFollows="1" w:id="45"/>
              <w:t>8)</w:t>
            </w:r>
            <w:r w:rsidRPr="004E0F02">
              <w:rPr>
                <w:spacing w:val="-2"/>
              </w:rPr>
              <w:t xml:space="preserve"> / MGMiŻŚ</w:t>
            </w:r>
            <w:r w:rsidRPr="004E0F02">
              <w:rPr>
                <w:rStyle w:val="Odwoanieprzypisudolnego"/>
                <w:spacing w:val="-2"/>
              </w:rPr>
              <w:footnoteReference w:customMarkFollows="1" w:id="46"/>
              <w:t>9)</w:t>
            </w:r>
          </w:p>
        </w:tc>
        <w:tc>
          <w:tcPr>
            <w:tcW w:w="928" w:type="pct"/>
            <w:gridSpan w:val="4"/>
            <w:vMerge/>
            <w:shd w:val="clear" w:color="auto" w:fill="auto"/>
          </w:tcPr>
          <w:p w14:paraId="4F7EB414" w14:textId="77777777" w:rsidR="00F90587" w:rsidRPr="004E0F02" w:rsidRDefault="00F90587" w:rsidP="009346F9">
            <w:pPr>
              <w:pStyle w:val="Akapitzlist"/>
              <w:numPr>
                <w:ilvl w:val="0"/>
                <w:numId w:val="4"/>
              </w:numPr>
              <w:spacing w:line="240" w:lineRule="auto"/>
              <w:ind w:left="300" w:hanging="142"/>
              <w:rPr>
                <w:rFonts w:ascii="Times New Roman" w:hAnsi="Times New Roman"/>
                <w:spacing w:val="-2"/>
              </w:rPr>
            </w:pPr>
          </w:p>
        </w:tc>
      </w:tr>
      <w:tr w:rsidR="00F90587" w:rsidRPr="004E0F02" w14:paraId="17543D5B" w14:textId="77777777" w:rsidTr="00584B45">
        <w:trPr>
          <w:trHeight w:val="142"/>
        </w:trPr>
        <w:tc>
          <w:tcPr>
            <w:tcW w:w="1338" w:type="pct"/>
            <w:gridSpan w:val="3"/>
            <w:shd w:val="clear" w:color="auto" w:fill="auto"/>
          </w:tcPr>
          <w:p w14:paraId="0DC3AB53" w14:textId="77777777" w:rsidR="00F90587" w:rsidRPr="004E0F02" w:rsidRDefault="00F90587" w:rsidP="009A0D0F">
            <w:pPr>
              <w:tabs>
                <w:tab w:val="left" w:pos="1560"/>
              </w:tabs>
              <w:spacing w:line="240" w:lineRule="auto"/>
            </w:pPr>
            <w:r w:rsidRPr="004E0F02">
              <w:t>Przedsiębiorstwa publiczne działające w obszarze transportu kolejowego – pasażerskiego</w:t>
            </w:r>
          </w:p>
        </w:tc>
        <w:tc>
          <w:tcPr>
            <w:tcW w:w="1638" w:type="pct"/>
            <w:gridSpan w:val="12"/>
            <w:shd w:val="clear" w:color="auto" w:fill="auto"/>
          </w:tcPr>
          <w:p w14:paraId="765A458A" w14:textId="77777777" w:rsidR="00F90587" w:rsidRPr="004E0F02" w:rsidRDefault="00F90587" w:rsidP="009A0D0F">
            <w:pPr>
              <w:spacing w:line="240" w:lineRule="auto"/>
              <w:rPr>
                <w:spacing w:val="-2"/>
              </w:rPr>
            </w:pPr>
            <w:r w:rsidRPr="004E0F02">
              <w:rPr>
                <w:spacing w:val="-2"/>
              </w:rPr>
              <w:t>Przewozy pasażerskie realizowane są przez 12 operatorów, którzy mają zawarte umowy o świadczenie usług publicznych z: ministrem właściwym ds. transportu, marszałkami województw i Prezydentem m.st. Warszawy.</w:t>
            </w:r>
            <w:r w:rsidR="006C6185" w:rsidRPr="004E0F02">
              <w:rPr>
                <w:spacing w:val="-2"/>
              </w:rPr>
              <w:t xml:space="preserve"> </w:t>
            </w:r>
          </w:p>
          <w:p w14:paraId="2690531D" w14:textId="40F792A4" w:rsidR="006C6185" w:rsidRPr="004E0F02" w:rsidRDefault="006C6185" w:rsidP="009A0D0F">
            <w:pPr>
              <w:spacing w:line="240" w:lineRule="auto"/>
              <w:rPr>
                <w:spacing w:val="-2"/>
              </w:rPr>
            </w:pPr>
            <w:r w:rsidRPr="004E0F02">
              <w:rPr>
                <w:spacing w:val="-2"/>
              </w:rPr>
              <w:t>Zarządcy infrastruktury, o których mowa w art. 38a ust. 1 ustawy z dnia 5 lipca 2018 r. o transporcie kolejowym (Dz. U. z 2020 r. poz. 1369).</w:t>
            </w:r>
          </w:p>
        </w:tc>
        <w:tc>
          <w:tcPr>
            <w:tcW w:w="1096" w:type="pct"/>
            <w:gridSpan w:val="8"/>
            <w:shd w:val="clear" w:color="auto" w:fill="auto"/>
          </w:tcPr>
          <w:p w14:paraId="09D14FB6" w14:textId="77777777" w:rsidR="00F90587" w:rsidRPr="004E0F02" w:rsidRDefault="00F90587" w:rsidP="009A0D0F">
            <w:pPr>
              <w:spacing w:line="240" w:lineRule="auto"/>
              <w:rPr>
                <w:spacing w:val="-2"/>
              </w:rPr>
            </w:pPr>
            <w:r w:rsidRPr="004E0F02">
              <w:rPr>
                <w:spacing w:val="-2"/>
              </w:rPr>
              <w:t>UTK</w:t>
            </w:r>
            <w:r w:rsidRPr="004E0F02">
              <w:rPr>
                <w:rStyle w:val="Odwoanieprzypisudolnego"/>
                <w:spacing w:val="-2"/>
              </w:rPr>
              <w:footnoteReference w:customMarkFollows="1" w:id="47"/>
              <w:t>10)</w:t>
            </w:r>
          </w:p>
        </w:tc>
        <w:tc>
          <w:tcPr>
            <w:tcW w:w="928" w:type="pct"/>
            <w:gridSpan w:val="4"/>
            <w:vMerge/>
            <w:shd w:val="clear" w:color="auto" w:fill="auto"/>
          </w:tcPr>
          <w:p w14:paraId="3DEBBA3B" w14:textId="77777777" w:rsidR="00F90587" w:rsidRPr="004E0F02" w:rsidRDefault="00F90587" w:rsidP="009346F9">
            <w:pPr>
              <w:pStyle w:val="Akapitzlist"/>
              <w:numPr>
                <w:ilvl w:val="0"/>
                <w:numId w:val="4"/>
              </w:numPr>
              <w:spacing w:line="240" w:lineRule="auto"/>
              <w:ind w:left="300" w:hanging="142"/>
              <w:rPr>
                <w:rFonts w:ascii="Times New Roman" w:hAnsi="Times New Roman"/>
                <w:spacing w:val="-2"/>
              </w:rPr>
            </w:pPr>
          </w:p>
        </w:tc>
      </w:tr>
      <w:tr w:rsidR="00F90587" w:rsidRPr="004E0F02" w14:paraId="7FCAFF32" w14:textId="77777777" w:rsidTr="00584B45">
        <w:trPr>
          <w:trHeight w:val="142"/>
        </w:trPr>
        <w:tc>
          <w:tcPr>
            <w:tcW w:w="1338" w:type="pct"/>
            <w:gridSpan w:val="3"/>
            <w:shd w:val="clear" w:color="auto" w:fill="auto"/>
          </w:tcPr>
          <w:p w14:paraId="15C29052" w14:textId="77777777" w:rsidR="00F90587" w:rsidRPr="004E0F02" w:rsidRDefault="00F90587" w:rsidP="009A0D0F">
            <w:pPr>
              <w:tabs>
                <w:tab w:val="left" w:pos="1560"/>
              </w:tabs>
              <w:spacing w:line="240" w:lineRule="auto"/>
            </w:pPr>
            <w:r w:rsidRPr="004E0F02">
              <w:lastRenderedPageBreak/>
              <w:t>Porty lotnicze</w:t>
            </w:r>
          </w:p>
        </w:tc>
        <w:tc>
          <w:tcPr>
            <w:tcW w:w="1638" w:type="pct"/>
            <w:gridSpan w:val="12"/>
            <w:shd w:val="clear" w:color="auto" w:fill="auto"/>
          </w:tcPr>
          <w:p w14:paraId="64275F78" w14:textId="77777777" w:rsidR="00F90587" w:rsidRPr="004E0F02" w:rsidRDefault="00F90587" w:rsidP="009A0D0F">
            <w:pPr>
              <w:spacing w:line="240" w:lineRule="auto"/>
              <w:rPr>
                <w:spacing w:val="-2"/>
              </w:rPr>
            </w:pPr>
            <w:r w:rsidRPr="004E0F02">
              <w:rPr>
                <w:spacing w:val="-2"/>
              </w:rPr>
              <w:t xml:space="preserve">14 (w przyszłym roku liczba ta wzrośnie do 15 – </w:t>
            </w:r>
            <w:r w:rsidRPr="004E0F02">
              <w:rPr>
                <w:rFonts w:ascii="Lato" w:hAnsi="Lato"/>
                <w:sz w:val="21"/>
                <w:szCs w:val="21"/>
                <w:shd w:val="clear" w:color="auto" w:fill="FFFFFF"/>
              </w:rPr>
              <w:t>w</w:t>
            </w:r>
            <w:r w:rsidRPr="004E0F02">
              <w:rPr>
                <w:spacing w:val="-2"/>
              </w:rPr>
              <w:t> </w:t>
            </w:r>
            <w:r w:rsidRPr="004E0F02">
              <w:rPr>
                <w:rFonts w:ascii="Lato" w:hAnsi="Lato"/>
                <w:sz w:val="21"/>
                <w:szCs w:val="21"/>
                <w:shd w:val="clear" w:color="auto" w:fill="FFFFFF"/>
              </w:rPr>
              <w:t>czwartym kwartale 2020 roku ma zakończyć się budowa terminala Radom – Sadków) </w:t>
            </w:r>
          </w:p>
        </w:tc>
        <w:tc>
          <w:tcPr>
            <w:tcW w:w="1096" w:type="pct"/>
            <w:gridSpan w:val="8"/>
            <w:shd w:val="clear" w:color="auto" w:fill="auto"/>
          </w:tcPr>
          <w:p w14:paraId="55867BF3" w14:textId="77777777" w:rsidR="00F90587" w:rsidRPr="004E0F02" w:rsidRDefault="00F90587" w:rsidP="009A0D0F">
            <w:pPr>
              <w:spacing w:line="240" w:lineRule="auto"/>
              <w:rPr>
                <w:spacing w:val="-2"/>
              </w:rPr>
            </w:pPr>
            <w:r w:rsidRPr="004E0F02">
              <w:rPr>
                <w:spacing w:val="-2"/>
              </w:rPr>
              <w:t>ULC</w:t>
            </w:r>
            <w:r w:rsidRPr="004E0F02">
              <w:rPr>
                <w:rStyle w:val="Odwoanieprzypisudolnego"/>
                <w:spacing w:val="-2"/>
              </w:rPr>
              <w:footnoteReference w:customMarkFollows="1" w:id="48"/>
              <w:t>11)</w:t>
            </w:r>
          </w:p>
        </w:tc>
        <w:tc>
          <w:tcPr>
            <w:tcW w:w="928" w:type="pct"/>
            <w:gridSpan w:val="4"/>
            <w:vMerge/>
            <w:shd w:val="clear" w:color="auto" w:fill="auto"/>
          </w:tcPr>
          <w:p w14:paraId="234DEEB3" w14:textId="77777777" w:rsidR="00F90587" w:rsidRPr="004E0F02" w:rsidRDefault="00F90587" w:rsidP="009346F9">
            <w:pPr>
              <w:pStyle w:val="Akapitzlist"/>
              <w:numPr>
                <w:ilvl w:val="0"/>
                <w:numId w:val="4"/>
              </w:numPr>
              <w:spacing w:line="240" w:lineRule="auto"/>
              <w:ind w:left="300" w:hanging="142"/>
              <w:rPr>
                <w:rFonts w:ascii="Times New Roman" w:hAnsi="Times New Roman"/>
                <w:spacing w:val="-2"/>
              </w:rPr>
            </w:pPr>
          </w:p>
        </w:tc>
      </w:tr>
      <w:tr w:rsidR="00F90587" w:rsidRPr="004E0F02" w14:paraId="53643D35" w14:textId="77777777" w:rsidTr="00584B45">
        <w:trPr>
          <w:trHeight w:val="142"/>
        </w:trPr>
        <w:tc>
          <w:tcPr>
            <w:tcW w:w="1338" w:type="pct"/>
            <w:gridSpan w:val="3"/>
            <w:shd w:val="clear" w:color="auto" w:fill="auto"/>
          </w:tcPr>
          <w:p w14:paraId="29AD2DE2" w14:textId="77777777" w:rsidR="00F90587" w:rsidRPr="004E0F02" w:rsidRDefault="00F90587" w:rsidP="009A0D0F">
            <w:pPr>
              <w:tabs>
                <w:tab w:val="left" w:pos="1560"/>
              </w:tabs>
              <w:spacing w:line="240" w:lineRule="auto"/>
            </w:pPr>
            <w:r w:rsidRPr="004E0F02">
              <w:t>Porty morskie</w:t>
            </w:r>
          </w:p>
        </w:tc>
        <w:tc>
          <w:tcPr>
            <w:tcW w:w="1638" w:type="pct"/>
            <w:gridSpan w:val="12"/>
            <w:shd w:val="clear" w:color="auto" w:fill="auto"/>
          </w:tcPr>
          <w:p w14:paraId="73C5EF5F" w14:textId="77777777" w:rsidR="00F90587" w:rsidRPr="004E0F02" w:rsidRDefault="00F90587" w:rsidP="009A0D0F">
            <w:pPr>
              <w:spacing w:line="240" w:lineRule="auto"/>
              <w:rPr>
                <w:spacing w:val="-2"/>
              </w:rPr>
            </w:pPr>
            <w:r w:rsidRPr="004E0F02">
              <w:rPr>
                <w:spacing w:val="-2"/>
              </w:rPr>
              <w:t>4 (Gdańsk, Gdynia, Szczecin, Świnoujście)</w:t>
            </w:r>
          </w:p>
        </w:tc>
        <w:tc>
          <w:tcPr>
            <w:tcW w:w="1096" w:type="pct"/>
            <w:gridSpan w:val="8"/>
            <w:shd w:val="clear" w:color="auto" w:fill="auto"/>
          </w:tcPr>
          <w:p w14:paraId="0B7CF92A" w14:textId="77777777" w:rsidR="00F90587" w:rsidRPr="004E0F02" w:rsidRDefault="00F90587" w:rsidP="009A0D0F">
            <w:pPr>
              <w:spacing w:line="240" w:lineRule="auto"/>
              <w:rPr>
                <w:spacing w:val="-2"/>
              </w:rPr>
            </w:pPr>
            <w:r w:rsidRPr="004E0F02">
              <w:rPr>
                <w:spacing w:val="-2"/>
              </w:rPr>
              <w:t>MGMiŻŚ</w:t>
            </w:r>
            <w:r w:rsidRPr="004E0F02">
              <w:rPr>
                <w:rStyle w:val="Odwoanieprzypisudolnego"/>
                <w:spacing w:val="-2"/>
              </w:rPr>
              <w:footnoteReference w:customMarkFollows="1" w:id="49"/>
              <w:t>12)</w:t>
            </w:r>
          </w:p>
        </w:tc>
        <w:tc>
          <w:tcPr>
            <w:tcW w:w="928" w:type="pct"/>
            <w:gridSpan w:val="4"/>
            <w:vMerge/>
            <w:shd w:val="clear" w:color="auto" w:fill="auto"/>
          </w:tcPr>
          <w:p w14:paraId="546F783A" w14:textId="77777777" w:rsidR="00F90587" w:rsidRPr="004E0F02" w:rsidRDefault="00F90587" w:rsidP="009346F9">
            <w:pPr>
              <w:pStyle w:val="Akapitzlist"/>
              <w:numPr>
                <w:ilvl w:val="0"/>
                <w:numId w:val="4"/>
              </w:numPr>
              <w:spacing w:line="240" w:lineRule="auto"/>
              <w:ind w:left="300" w:hanging="142"/>
              <w:rPr>
                <w:rFonts w:ascii="Times New Roman" w:hAnsi="Times New Roman"/>
                <w:spacing w:val="-2"/>
              </w:rPr>
            </w:pPr>
          </w:p>
        </w:tc>
      </w:tr>
      <w:tr w:rsidR="00F90587" w:rsidRPr="004E0F02" w14:paraId="42471EDF" w14:textId="77777777" w:rsidTr="00584B45">
        <w:trPr>
          <w:trHeight w:val="142"/>
        </w:trPr>
        <w:tc>
          <w:tcPr>
            <w:tcW w:w="1338" w:type="pct"/>
            <w:gridSpan w:val="3"/>
            <w:shd w:val="clear" w:color="auto" w:fill="auto"/>
          </w:tcPr>
          <w:p w14:paraId="478D08EC" w14:textId="77777777" w:rsidR="00F90587" w:rsidRPr="004E0F02" w:rsidRDefault="00F90587" w:rsidP="009A0D0F">
            <w:pPr>
              <w:tabs>
                <w:tab w:val="left" w:pos="1560"/>
              </w:tabs>
              <w:spacing w:line="240" w:lineRule="auto"/>
            </w:pPr>
            <w:r w:rsidRPr="004E0F02">
              <w:t>Przedsiębiorstwa publiczne działające w obszarze górnictwa i wydobycia</w:t>
            </w:r>
          </w:p>
        </w:tc>
        <w:tc>
          <w:tcPr>
            <w:tcW w:w="1638" w:type="pct"/>
            <w:gridSpan w:val="12"/>
            <w:shd w:val="clear" w:color="auto" w:fill="auto"/>
          </w:tcPr>
          <w:p w14:paraId="089C2A71" w14:textId="77777777" w:rsidR="00F90587" w:rsidRPr="004E0F02" w:rsidRDefault="00F90587" w:rsidP="009A0D0F">
            <w:pPr>
              <w:tabs>
                <w:tab w:val="left" w:pos="1560"/>
              </w:tabs>
              <w:spacing w:line="240" w:lineRule="auto"/>
              <w:rPr>
                <w:spacing w:val="-2"/>
              </w:rPr>
            </w:pPr>
            <w:r w:rsidRPr="004E0F02">
              <w:rPr>
                <w:spacing w:val="-2"/>
              </w:rPr>
              <w:t>33</w:t>
            </w:r>
          </w:p>
        </w:tc>
        <w:tc>
          <w:tcPr>
            <w:tcW w:w="1096" w:type="pct"/>
            <w:gridSpan w:val="8"/>
            <w:shd w:val="clear" w:color="auto" w:fill="auto"/>
          </w:tcPr>
          <w:p w14:paraId="6A14E952" w14:textId="77777777" w:rsidR="00F90587" w:rsidRPr="004E0F02" w:rsidRDefault="00F90587" w:rsidP="009A0D0F">
            <w:pPr>
              <w:spacing w:line="240" w:lineRule="auto"/>
              <w:rPr>
                <w:spacing w:val="-2"/>
              </w:rPr>
            </w:pPr>
            <w:r w:rsidRPr="004E0F02">
              <w:rPr>
                <w:spacing w:val="-2"/>
              </w:rPr>
              <w:t>GUS</w:t>
            </w:r>
            <w:r w:rsidRPr="004E0F02">
              <w:rPr>
                <w:rStyle w:val="Odwoanieprzypisudolnego"/>
                <w:spacing w:val="-2"/>
              </w:rPr>
              <w:footnoteReference w:customMarkFollows="1" w:id="50"/>
              <w:t>13)</w:t>
            </w:r>
          </w:p>
        </w:tc>
        <w:tc>
          <w:tcPr>
            <w:tcW w:w="928" w:type="pct"/>
            <w:gridSpan w:val="4"/>
            <w:vMerge/>
            <w:shd w:val="clear" w:color="auto" w:fill="auto"/>
          </w:tcPr>
          <w:p w14:paraId="3F47D870" w14:textId="77777777" w:rsidR="00F90587" w:rsidRPr="004E0F02" w:rsidRDefault="00F90587" w:rsidP="009346F9">
            <w:pPr>
              <w:pStyle w:val="Akapitzlist"/>
              <w:numPr>
                <w:ilvl w:val="0"/>
                <w:numId w:val="4"/>
              </w:numPr>
              <w:spacing w:line="240" w:lineRule="auto"/>
              <w:ind w:left="300" w:hanging="142"/>
              <w:rPr>
                <w:rFonts w:ascii="Times New Roman" w:hAnsi="Times New Roman"/>
                <w:spacing w:val="-2"/>
              </w:rPr>
            </w:pPr>
          </w:p>
        </w:tc>
      </w:tr>
      <w:tr w:rsidR="00F90587" w:rsidRPr="004E0F02" w14:paraId="2697D08F" w14:textId="77777777" w:rsidTr="00584B45">
        <w:trPr>
          <w:trHeight w:val="142"/>
        </w:trPr>
        <w:tc>
          <w:tcPr>
            <w:tcW w:w="1338" w:type="pct"/>
            <w:gridSpan w:val="3"/>
            <w:shd w:val="clear" w:color="auto" w:fill="auto"/>
          </w:tcPr>
          <w:p w14:paraId="3D783737" w14:textId="77777777" w:rsidR="00F90587" w:rsidRPr="004E0F02" w:rsidRDefault="00F90587" w:rsidP="009A0D0F">
            <w:pPr>
              <w:tabs>
                <w:tab w:val="left" w:pos="1560"/>
              </w:tabs>
              <w:spacing w:line="240" w:lineRule="auto"/>
            </w:pPr>
            <w:r w:rsidRPr="004E0F02">
              <w:t>Przedsiębiorstwa publiczne działające w obszarze produkcji i dostaw gazu, energii cieplnej, energii elektrycznej</w:t>
            </w:r>
          </w:p>
        </w:tc>
        <w:tc>
          <w:tcPr>
            <w:tcW w:w="1638" w:type="pct"/>
            <w:gridSpan w:val="12"/>
            <w:shd w:val="clear" w:color="auto" w:fill="auto"/>
          </w:tcPr>
          <w:p w14:paraId="47EB0987" w14:textId="77777777" w:rsidR="00F90587" w:rsidRPr="004E0F02" w:rsidRDefault="00F90587" w:rsidP="009A0D0F">
            <w:pPr>
              <w:spacing w:line="240" w:lineRule="auto"/>
              <w:rPr>
                <w:spacing w:val="-2"/>
              </w:rPr>
            </w:pPr>
            <w:r w:rsidRPr="004E0F02">
              <w:rPr>
                <w:spacing w:val="-2"/>
              </w:rPr>
              <w:t>343</w:t>
            </w:r>
          </w:p>
        </w:tc>
        <w:tc>
          <w:tcPr>
            <w:tcW w:w="1096" w:type="pct"/>
            <w:gridSpan w:val="8"/>
            <w:shd w:val="clear" w:color="auto" w:fill="auto"/>
          </w:tcPr>
          <w:p w14:paraId="1ED96400" w14:textId="77777777" w:rsidR="00F90587" w:rsidRPr="004E0F02" w:rsidRDefault="00F90587" w:rsidP="009A0D0F">
            <w:pPr>
              <w:spacing w:line="240" w:lineRule="auto"/>
              <w:rPr>
                <w:spacing w:val="-2"/>
              </w:rPr>
            </w:pPr>
            <w:r w:rsidRPr="004E0F02">
              <w:rPr>
                <w:spacing w:val="-2"/>
              </w:rPr>
              <w:t>GUS</w:t>
            </w:r>
            <w:r w:rsidRPr="004E0F02">
              <w:rPr>
                <w:rStyle w:val="Odwoanieprzypisudolnego"/>
                <w:spacing w:val="-2"/>
              </w:rPr>
              <w:footnoteReference w:customMarkFollows="1" w:id="51"/>
              <w:t>14)</w:t>
            </w:r>
          </w:p>
        </w:tc>
        <w:tc>
          <w:tcPr>
            <w:tcW w:w="928" w:type="pct"/>
            <w:gridSpan w:val="4"/>
            <w:vMerge/>
            <w:shd w:val="clear" w:color="auto" w:fill="auto"/>
          </w:tcPr>
          <w:p w14:paraId="14DE1351" w14:textId="77777777" w:rsidR="00F90587" w:rsidRPr="004E0F02" w:rsidRDefault="00F90587" w:rsidP="009346F9">
            <w:pPr>
              <w:pStyle w:val="Akapitzlist"/>
              <w:numPr>
                <w:ilvl w:val="0"/>
                <w:numId w:val="4"/>
              </w:numPr>
              <w:spacing w:line="240" w:lineRule="auto"/>
              <w:ind w:left="300" w:hanging="142"/>
              <w:rPr>
                <w:rFonts w:ascii="Times New Roman" w:hAnsi="Times New Roman"/>
                <w:spacing w:val="-2"/>
              </w:rPr>
            </w:pPr>
          </w:p>
        </w:tc>
      </w:tr>
      <w:tr w:rsidR="00F90587" w:rsidRPr="004E0F02" w14:paraId="2CC57B91" w14:textId="77777777" w:rsidTr="00584B45">
        <w:trPr>
          <w:trHeight w:val="142"/>
        </w:trPr>
        <w:tc>
          <w:tcPr>
            <w:tcW w:w="1338" w:type="pct"/>
            <w:gridSpan w:val="3"/>
            <w:shd w:val="clear" w:color="auto" w:fill="auto"/>
          </w:tcPr>
          <w:p w14:paraId="2928D864" w14:textId="77777777" w:rsidR="00F90587" w:rsidRPr="004E0F02" w:rsidRDefault="00F90587" w:rsidP="009A0D0F">
            <w:pPr>
              <w:tabs>
                <w:tab w:val="left" w:pos="1560"/>
              </w:tabs>
              <w:spacing w:line="240" w:lineRule="auto"/>
            </w:pPr>
            <w:r w:rsidRPr="004E0F02">
              <w:t>Przedsiębiorstwa publiczne działające w obszarze poboru, uzdatniania i dostarczania wody</w:t>
            </w:r>
          </w:p>
        </w:tc>
        <w:tc>
          <w:tcPr>
            <w:tcW w:w="1638" w:type="pct"/>
            <w:gridSpan w:val="12"/>
            <w:shd w:val="clear" w:color="auto" w:fill="auto"/>
          </w:tcPr>
          <w:p w14:paraId="1F023106" w14:textId="77777777" w:rsidR="00F90587" w:rsidRPr="004E0F02" w:rsidRDefault="00F90587" w:rsidP="009A0D0F">
            <w:pPr>
              <w:spacing w:line="240" w:lineRule="auto"/>
              <w:rPr>
                <w:spacing w:val="-2"/>
              </w:rPr>
            </w:pPr>
            <w:r w:rsidRPr="004E0F02">
              <w:rPr>
                <w:spacing w:val="-2"/>
              </w:rPr>
              <w:t>1130</w:t>
            </w:r>
          </w:p>
        </w:tc>
        <w:tc>
          <w:tcPr>
            <w:tcW w:w="1096" w:type="pct"/>
            <w:gridSpan w:val="8"/>
            <w:shd w:val="clear" w:color="auto" w:fill="auto"/>
          </w:tcPr>
          <w:p w14:paraId="321F6B9A" w14:textId="77777777" w:rsidR="00F90587" w:rsidRPr="004E0F02" w:rsidRDefault="00F90587" w:rsidP="009A0D0F">
            <w:pPr>
              <w:spacing w:line="240" w:lineRule="auto"/>
              <w:rPr>
                <w:spacing w:val="-2"/>
              </w:rPr>
            </w:pPr>
            <w:r w:rsidRPr="004E0F02">
              <w:rPr>
                <w:spacing w:val="-2"/>
              </w:rPr>
              <w:t>GUS</w:t>
            </w:r>
            <w:r w:rsidRPr="004E0F02">
              <w:rPr>
                <w:rStyle w:val="Odwoanieprzypisudolnego"/>
                <w:spacing w:val="-2"/>
              </w:rPr>
              <w:footnoteReference w:customMarkFollows="1" w:id="52"/>
              <w:t>15)</w:t>
            </w:r>
          </w:p>
        </w:tc>
        <w:tc>
          <w:tcPr>
            <w:tcW w:w="928" w:type="pct"/>
            <w:gridSpan w:val="4"/>
            <w:vMerge/>
            <w:shd w:val="clear" w:color="auto" w:fill="auto"/>
          </w:tcPr>
          <w:p w14:paraId="7A6FC42A" w14:textId="77777777" w:rsidR="00F90587" w:rsidRPr="004E0F02" w:rsidRDefault="00F90587" w:rsidP="009346F9">
            <w:pPr>
              <w:pStyle w:val="Akapitzlist"/>
              <w:numPr>
                <w:ilvl w:val="0"/>
                <w:numId w:val="4"/>
              </w:numPr>
              <w:spacing w:line="240" w:lineRule="auto"/>
              <w:ind w:left="300" w:hanging="142"/>
              <w:rPr>
                <w:rFonts w:ascii="Times New Roman" w:hAnsi="Times New Roman"/>
                <w:spacing w:val="-2"/>
              </w:rPr>
            </w:pPr>
          </w:p>
        </w:tc>
      </w:tr>
      <w:tr w:rsidR="00F90587" w:rsidRPr="004E0F02" w14:paraId="43DCDD7B" w14:textId="77777777" w:rsidTr="00584B45">
        <w:trPr>
          <w:trHeight w:val="142"/>
        </w:trPr>
        <w:tc>
          <w:tcPr>
            <w:tcW w:w="1338" w:type="pct"/>
            <w:gridSpan w:val="3"/>
            <w:shd w:val="clear" w:color="auto" w:fill="auto"/>
          </w:tcPr>
          <w:p w14:paraId="2F222A57" w14:textId="77777777" w:rsidR="00F90587" w:rsidRPr="004E0F02" w:rsidRDefault="00F90587" w:rsidP="009A0D0F">
            <w:pPr>
              <w:tabs>
                <w:tab w:val="left" w:pos="1560"/>
              </w:tabs>
              <w:spacing w:line="240" w:lineRule="auto"/>
            </w:pPr>
            <w:r w:rsidRPr="004E0F02">
              <w:t>Przedsiębiorstwa publiczne działające w obszarze odprowadzania i oczyszczania ścieków</w:t>
            </w:r>
          </w:p>
        </w:tc>
        <w:tc>
          <w:tcPr>
            <w:tcW w:w="1638" w:type="pct"/>
            <w:gridSpan w:val="12"/>
            <w:shd w:val="clear" w:color="auto" w:fill="auto"/>
          </w:tcPr>
          <w:p w14:paraId="4CBF1C14" w14:textId="77777777" w:rsidR="00F90587" w:rsidRPr="004E0F02" w:rsidRDefault="00F90587" w:rsidP="009A0D0F">
            <w:pPr>
              <w:spacing w:line="240" w:lineRule="auto"/>
              <w:rPr>
                <w:spacing w:val="-2"/>
              </w:rPr>
            </w:pPr>
            <w:r w:rsidRPr="004E0F02">
              <w:rPr>
                <w:spacing w:val="-2"/>
              </w:rPr>
              <w:t>285</w:t>
            </w:r>
          </w:p>
        </w:tc>
        <w:tc>
          <w:tcPr>
            <w:tcW w:w="1096" w:type="pct"/>
            <w:gridSpan w:val="8"/>
            <w:shd w:val="clear" w:color="auto" w:fill="auto"/>
          </w:tcPr>
          <w:p w14:paraId="5AA50840" w14:textId="77777777" w:rsidR="00F90587" w:rsidRPr="004E0F02" w:rsidRDefault="00F90587" w:rsidP="009A0D0F">
            <w:pPr>
              <w:spacing w:line="240" w:lineRule="auto"/>
              <w:rPr>
                <w:spacing w:val="-2"/>
              </w:rPr>
            </w:pPr>
            <w:r w:rsidRPr="004E0F02">
              <w:rPr>
                <w:spacing w:val="-2"/>
              </w:rPr>
              <w:t>GUS</w:t>
            </w:r>
            <w:r w:rsidRPr="004E0F02">
              <w:rPr>
                <w:rStyle w:val="Odwoanieprzypisudolnego"/>
                <w:spacing w:val="-2"/>
              </w:rPr>
              <w:footnoteReference w:customMarkFollows="1" w:id="53"/>
              <w:t>16)</w:t>
            </w:r>
          </w:p>
        </w:tc>
        <w:tc>
          <w:tcPr>
            <w:tcW w:w="928" w:type="pct"/>
            <w:gridSpan w:val="4"/>
            <w:vMerge/>
            <w:shd w:val="clear" w:color="auto" w:fill="auto"/>
          </w:tcPr>
          <w:p w14:paraId="083A690D" w14:textId="77777777" w:rsidR="00F90587" w:rsidRPr="004E0F02" w:rsidRDefault="00F90587" w:rsidP="009346F9">
            <w:pPr>
              <w:pStyle w:val="Akapitzlist"/>
              <w:numPr>
                <w:ilvl w:val="0"/>
                <w:numId w:val="4"/>
              </w:numPr>
              <w:spacing w:line="240" w:lineRule="auto"/>
              <w:ind w:left="300" w:hanging="142"/>
              <w:rPr>
                <w:rFonts w:ascii="Times New Roman" w:hAnsi="Times New Roman"/>
                <w:spacing w:val="-2"/>
              </w:rPr>
            </w:pPr>
          </w:p>
        </w:tc>
      </w:tr>
      <w:tr w:rsidR="00CE2D18" w:rsidRPr="004E0F02" w14:paraId="1621267B" w14:textId="77777777" w:rsidTr="00584B45">
        <w:trPr>
          <w:trHeight w:val="142"/>
        </w:trPr>
        <w:tc>
          <w:tcPr>
            <w:tcW w:w="1338" w:type="pct"/>
            <w:gridSpan w:val="3"/>
            <w:shd w:val="clear" w:color="auto" w:fill="auto"/>
          </w:tcPr>
          <w:p w14:paraId="0B2995A6" w14:textId="5A226DB1" w:rsidR="00CE2D18" w:rsidRPr="004E0F02" w:rsidRDefault="00CE2D18" w:rsidP="009A0D0F">
            <w:pPr>
              <w:tabs>
                <w:tab w:val="left" w:pos="1560"/>
              </w:tabs>
              <w:spacing w:line="240" w:lineRule="auto"/>
            </w:pPr>
            <w:r w:rsidRPr="004E0F02">
              <w:t>Jednostki sektora nauki (podmioty wymienione</w:t>
            </w:r>
            <w:r w:rsidR="00E45B1D" w:rsidRPr="004E0F02">
              <w:t xml:space="preserve"> w art. 7 ust. </w:t>
            </w:r>
            <w:r w:rsidR="00AF626C" w:rsidRPr="004E0F02">
              <w:t>1 </w:t>
            </w:r>
            <w:r w:rsidRPr="004E0F02">
              <w:t>ustawy z dnia 2</w:t>
            </w:r>
            <w:r w:rsidR="00AF626C" w:rsidRPr="004E0F02">
              <w:t>0 </w:t>
            </w:r>
            <w:r w:rsidRPr="004E0F02">
              <w:t>lipca 201</w:t>
            </w:r>
            <w:r w:rsidR="00AF626C" w:rsidRPr="004E0F02">
              <w:t>8 </w:t>
            </w:r>
            <w:r w:rsidRPr="004E0F02">
              <w:t>r. – Prawo</w:t>
            </w:r>
            <w:r w:rsidR="00AF626C" w:rsidRPr="004E0F02">
              <w:t xml:space="preserve"> o </w:t>
            </w:r>
            <w:r w:rsidRPr="004E0F02">
              <w:t>szkolnictwie wyższym</w:t>
            </w:r>
            <w:r w:rsidR="00AF626C" w:rsidRPr="004E0F02">
              <w:t xml:space="preserve"> i </w:t>
            </w:r>
            <w:r w:rsidRPr="004E0F02">
              <w:t>nauce)</w:t>
            </w:r>
          </w:p>
        </w:tc>
        <w:tc>
          <w:tcPr>
            <w:tcW w:w="1638" w:type="pct"/>
            <w:gridSpan w:val="12"/>
            <w:shd w:val="clear" w:color="auto" w:fill="auto"/>
          </w:tcPr>
          <w:p w14:paraId="555EAC3D" w14:textId="31281FDE" w:rsidR="00CE2D18" w:rsidRPr="004E0F02" w:rsidRDefault="00CE2D18" w:rsidP="009A0D0F">
            <w:pPr>
              <w:spacing w:line="240" w:lineRule="auto"/>
              <w:rPr>
                <w:spacing w:val="-2"/>
              </w:rPr>
            </w:pPr>
            <w:r w:rsidRPr="004E0F02">
              <w:rPr>
                <w:spacing w:val="-2"/>
              </w:rPr>
              <w:t>13</w:t>
            </w:r>
            <w:r w:rsidR="00AF626C" w:rsidRPr="004E0F02">
              <w:rPr>
                <w:spacing w:val="-2"/>
              </w:rPr>
              <w:t>0 </w:t>
            </w:r>
            <w:r w:rsidRPr="004E0F02">
              <w:rPr>
                <w:spacing w:val="-2"/>
              </w:rPr>
              <w:t>uczelni publicznych (w tym 3</w:t>
            </w:r>
            <w:r w:rsidR="00AF626C" w:rsidRPr="004E0F02">
              <w:rPr>
                <w:spacing w:val="-2"/>
              </w:rPr>
              <w:t>4 </w:t>
            </w:r>
            <w:r w:rsidRPr="004E0F02">
              <w:rPr>
                <w:spacing w:val="-2"/>
              </w:rPr>
              <w:t>wyższe szkoły zawodowe, 1</w:t>
            </w:r>
            <w:r w:rsidR="00AF626C" w:rsidRPr="004E0F02">
              <w:rPr>
                <w:spacing w:val="-2"/>
              </w:rPr>
              <w:t>8 </w:t>
            </w:r>
            <w:r w:rsidRPr="004E0F02">
              <w:rPr>
                <w:spacing w:val="-2"/>
              </w:rPr>
              <w:t>uniwersytetów, 1</w:t>
            </w:r>
            <w:r w:rsidR="00AF626C" w:rsidRPr="004E0F02">
              <w:rPr>
                <w:spacing w:val="-2"/>
              </w:rPr>
              <w:t>8 </w:t>
            </w:r>
            <w:r w:rsidRPr="004E0F02">
              <w:rPr>
                <w:spacing w:val="-2"/>
              </w:rPr>
              <w:t xml:space="preserve">uczelni technicznych, </w:t>
            </w:r>
            <w:r w:rsidR="00AF626C" w:rsidRPr="004E0F02">
              <w:rPr>
                <w:spacing w:val="-2"/>
              </w:rPr>
              <w:t>9 </w:t>
            </w:r>
            <w:r w:rsidR="00E45B1D" w:rsidRPr="004E0F02">
              <w:rPr>
                <w:spacing w:val="-2"/>
              </w:rPr>
              <w:noBreakHyphen/>
              <w:t xml:space="preserve"> </w:t>
            </w:r>
            <w:r w:rsidRPr="004E0F02">
              <w:rPr>
                <w:spacing w:val="-2"/>
              </w:rPr>
              <w:t xml:space="preserve">medycznych, </w:t>
            </w:r>
            <w:r w:rsidR="00AF626C" w:rsidRPr="004E0F02">
              <w:rPr>
                <w:spacing w:val="-2"/>
              </w:rPr>
              <w:t>6 </w:t>
            </w:r>
            <w:r w:rsidRPr="004E0F02">
              <w:rPr>
                <w:spacing w:val="-2"/>
              </w:rPr>
              <w:t xml:space="preserve">– rolniczych / przyrodniczych, </w:t>
            </w:r>
            <w:r w:rsidR="00AF626C" w:rsidRPr="004E0F02">
              <w:rPr>
                <w:spacing w:val="-2"/>
              </w:rPr>
              <w:t>6 </w:t>
            </w:r>
            <w:r w:rsidRPr="004E0F02">
              <w:rPr>
                <w:spacing w:val="-2"/>
              </w:rPr>
              <w:t xml:space="preserve">akademii wychowania fizycznego, </w:t>
            </w:r>
            <w:r w:rsidR="00AF626C" w:rsidRPr="004E0F02">
              <w:rPr>
                <w:spacing w:val="-2"/>
              </w:rPr>
              <w:t>5 </w:t>
            </w:r>
            <w:r w:rsidRPr="004E0F02">
              <w:rPr>
                <w:spacing w:val="-2"/>
              </w:rPr>
              <w:t xml:space="preserve">uczelni ekonomicznych, </w:t>
            </w:r>
            <w:r w:rsidR="00AF626C" w:rsidRPr="004E0F02">
              <w:rPr>
                <w:spacing w:val="-2"/>
              </w:rPr>
              <w:t>5 </w:t>
            </w:r>
            <w:r w:rsidR="00E45B1D" w:rsidRPr="004E0F02">
              <w:rPr>
                <w:spacing w:val="-2"/>
              </w:rPr>
              <w:noBreakHyphen/>
              <w:t xml:space="preserve"> </w:t>
            </w:r>
            <w:r w:rsidRPr="004E0F02">
              <w:rPr>
                <w:spacing w:val="-2"/>
              </w:rPr>
              <w:t>pedagogicznych, 1</w:t>
            </w:r>
            <w:r w:rsidR="00AF626C" w:rsidRPr="004E0F02">
              <w:rPr>
                <w:spacing w:val="-2"/>
              </w:rPr>
              <w:t>9 </w:t>
            </w:r>
            <w:r w:rsidR="00E45B1D" w:rsidRPr="004E0F02">
              <w:rPr>
                <w:spacing w:val="-2"/>
              </w:rPr>
              <w:noBreakHyphen/>
              <w:t xml:space="preserve"> </w:t>
            </w:r>
            <w:r w:rsidRPr="004E0F02">
              <w:rPr>
                <w:spacing w:val="-2"/>
              </w:rPr>
              <w:t xml:space="preserve">artystycznych, </w:t>
            </w:r>
            <w:r w:rsidR="00AF626C" w:rsidRPr="004E0F02">
              <w:rPr>
                <w:spacing w:val="-2"/>
              </w:rPr>
              <w:t>2 </w:t>
            </w:r>
            <w:r w:rsidRPr="004E0F02">
              <w:rPr>
                <w:spacing w:val="-2"/>
              </w:rPr>
              <w:t xml:space="preserve">akademie morskie, </w:t>
            </w:r>
            <w:r w:rsidR="00AF626C" w:rsidRPr="004E0F02">
              <w:rPr>
                <w:spacing w:val="-2"/>
              </w:rPr>
              <w:t>5 </w:t>
            </w:r>
            <w:r w:rsidRPr="004E0F02">
              <w:rPr>
                <w:spacing w:val="-2"/>
              </w:rPr>
              <w:t xml:space="preserve">uczelni wojskowych, </w:t>
            </w:r>
            <w:r w:rsidR="00AF626C" w:rsidRPr="004E0F02">
              <w:rPr>
                <w:spacing w:val="-2"/>
              </w:rPr>
              <w:t>2 </w:t>
            </w:r>
            <w:r w:rsidR="00E45B1D" w:rsidRPr="004E0F02">
              <w:rPr>
                <w:spacing w:val="-2"/>
              </w:rPr>
              <w:noBreakHyphen/>
              <w:t xml:space="preserve"> </w:t>
            </w:r>
            <w:r w:rsidRPr="004E0F02">
              <w:rPr>
                <w:spacing w:val="-2"/>
              </w:rPr>
              <w:t xml:space="preserve">służb państwowych, </w:t>
            </w:r>
            <w:r w:rsidR="00AF626C" w:rsidRPr="004E0F02">
              <w:rPr>
                <w:spacing w:val="-2"/>
              </w:rPr>
              <w:t>1 </w:t>
            </w:r>
            <w:r w:rsidRPr="004E0F02">
              <w:rPr>
                <w:spacing w:val="-2"/>
              </w:rPr>
              <w:t>– teologiczna).</w:t>
            </w:r>
          </w:p>
          <w:p w14:paraId="2C027D13" w14:textId="77777777" w:rsidR="00CE2D18" w:rsidRPr="004E0F02" w:rsidRDefault="00CE2D18" w:rsidP="009A0D0F">
            <w:pPr>
              <w:spacing w:line="240" w:lineRule="auto"/>
              <w:rPr>
                <w:spacing w:val="-2"/>
              </w:rPr>
            </w:pPr>
          </w:p>
          <w:p w14:paraId="7684FE5E" w14:textId="77777777" w:rsidR="00CE2D18" w:rsidRPr="004E0F02" w:rsidRDefault="00CE2D18" w:rsidP="009A0D0F">
            <w:pPr>
              <w:spacing w:line="240" w:lineRule="auto"/>
              <w:rPr>
                <w:spacing w:val="-2"/>
              </w:rPr>
            </w:pPr>
            <w:r w:rsidRPr="004E0F02">
              <w:rPr>
                <w:spacing w:val="-2"/>
              </w:rPr>
              <w:t>6</w:t>
            </w:r>
            <w:r w:rsidR="00AF626C" w:rsidRPr="004E0F02">
              <w:rPr>
                <w:spacing w:val="-2"/>
              </w:rPr>
              <w:t>5 </w:t>
            </w:r>
            <w:r w:rsidRPr="004E0F02">
              <w:rPr>
                <w:spacing w:val="-2"/>
              </w:rPr>
              <w:t>jednostek Polskiej Akademii Nauk.</w:t>
            </w:r>
          </w:p>
          <w:p w14:paraId="671F4C64" w14:textId="77777777" w:rsidR="00CE2D18" w:rsidRPr="004E0F02" w:rsidRDefault="00CE2D18" w:rsidP="009A0D0F">
            <w:pPr>
              <w:spacing w:line="240" w:lineRule="auto"/>
              <w:rPr>
                <w:spacing w:val="-2"/>
              </w:rPr>
            </w:pPr>
          </w:p>
          <w:p w14:paraId="36C27610" w14:textId="77777777" w:rsidR="00CE2D18" w:rsidRPr="004E0F02" w:rsidRDefault="00CE2D18" w:rsidP="009A0D0F">
            <w:pPr>
              <w:spacing w:line="240" w:lineRule="auto"/>
              <w:rPr>
                <w:spacing w:val="-2"/>
              </w:rPr>
            </w:pPr>
            <w:r w:rsidRPr="004E0F02">
              <w:rPr>
                <w:spacing w:val="-2"/>
              </w:rPr>
              <w:t>ok. 11</w:t>
            </w:r>
            <w:r w:rsidR="00AF626C" w:rsidRPr="004E0F02">
              <w:rPr>
                <w:spacing w:val="-2"/>
              </w:rPr>
              <w:t>0 </w:t>
            </w:r>
            <w:r w:rsidRPr="004E0F02">
              <w:rPr>
                <w:spacing w:val="-2"/>
              </w:rPr>
              <w:t>instytutów badawczych (w tym 3</w:t>
            </w:r>
            <w:r w:rsidR="00AF626C" w:rsidRPr="004E0F02">
              <w:rPr>
                <w:spacing w:val="-2"/>
              </w:rPr>
              <w:t>8 </w:t>
            </w:r>
            <w:r w:rsidRPr="004E0F02">
              <w:rPr>
                <w:spacing w:val="-2"/>
              </w:rPr>
              <w:t>instytutów</w:t>
            </w:r>
            <w:r w:rsidR="00AF626C" w:rsidRPr="004E0F02">
              <w:rPr>
                <w:spacing w:val="-2"/>
              </w:rPr>
              <w:t xml:space="preserve"> w </w:t>
            </w:r>
            <w:r w:rsidRPr="004E0F02">
              <w:rPr>
                <w:spacing w:val="-2"/>
              </w:rPr>
              <w:t>ramach Sieci Badawczej Łukasiewicz).</w:t>
            </w:r>
          </w:p>
        </w:tc>
        <w:tc>
          <w:tcPr>
            <w:tcW w:w="1096" w:type="pct"/>
            <w:gridSpan w:val="8"/>
            <w:shd w:val="clear" w:color="auto" w:fill="auto"/>
          </w:tcPr>
          <w:p w14:paraId="5D382691" w14:textId="77777777" w:rsidR="00CE2D18" w:rsidRPr="004E0F02" w:rsidRDefault="00CE2D18" w:rsidP="009A0D0F">
            <w:pPr>
              <w:spacing w:line="240" w:lineRule="auto"/>
              <w:rPr>
                <w:spacing w:val="-2"/>
              </w:rPr>
            </w:pPr>
            <w:r w:rsidRPr="004E0F02">
              <w:rPr>
                <w:spacing w:val="-2"/>
              </w:rPr>
              <w:t>MNiSW</w:t>
            </w:r>
            <w:r w:rsidRPr="004E0F02">
              <w:rPr>
                <w:rStyle w:val="Odwoanieprzypisudolnego"/>
                <w:spacing w:val="-2"/>
              </w:rPr>
              <w:footnoteReference w:customMarkFollows="1" w:id="54"/>
              <w:t>17)</w:t>
            </w:r>
            <w:r w:rsidRPr="004E0F02">
              <w:rPr>
                <w:spacing w:val="-2"/>
              </w:rPr>
              <w:t xml:space="preserve">, </w:t>
            </w:r>
          </w:p>
          <w:p w14:paraId="4E2C71F3" w14:textId="0BBE9701" w:rsidR="00CE2D18" w:rsidRPr="004E0F02" w:rsidRDefault="00CE2D18" w:rsidP="009A0D0F">
            <w:pPr>
              <w:spacing w:line="240" w:lineRule="auto"/>
              <w:rPr>
                <w:spacing w:val="-2"/>
              </w:rPr>
            </w:pPr>
            <w:r w:rsidRPr="004E0F02">
              <w:rPr>
                <w:spacing w:val="-2"/>
              </w:rPr>
              <w:t>Rejestr instytucji szkolnictwa wyższego w systemie POL</w:t>
            </w:r>
            <w:r w:rsidR="00AF626C" w:rsidRPr="004E0F02">
              <w:rPr>
                <w:spacing w:val="-2"/>
              </w:rPr>
              <w:softHyphen/>
            </w:r>
            <w:r w:rsidR="00E45B1D" w:rsidRPr="004E0F02">
              <w:rPr>
                <w:spacing w:val="-2"/>
              </w:rPr>
              <w:softHyphen/>
            </w:r>
            <w:r w:rsidR="00E45B1D" w:rsidRPr="004E0F02">
              <w:rPr>
                <w:spacing w:val="-2"/>
              </w:rPr>
              <w:noBreakHyphen/>
            </w:r>
            <w:r w:rsidRPr="004E0F02">
              <w:rPr>
                <w:spacing w:val="-2"/>
              </w:rPr>
              <w:t>on</w:t>
            </w:r>
          </w:p>
          <w:p w14:paraId="1A1C58FD" w14:textId="77777777" w:rsidR="00CE2D18" w:rsidRPr="004E0F02" w:rsidRDefault="00CE2D18" w:rsidP="009A0D0F">
            <w:pPr>
              <w:spacing w:line="240" w:lineRule="auto"/>
              <w:rPr>
                <w:spacing w:val="-2"/>
              </w:rPr>
            </w:pPr>
          </w:p>
          <w:p w14:paraId="4C8E8FFE" w14:textId="77777777" w:rsidR="00CE2D18" w:rsidRPr="004E0F02" w:rsidRDefault="00CE2D18" w:rsidP="009A0D0F">
            <w:pPr>
              <w:spacing w:line="240" w:lineRule="auto"/>
              <w:rPr>
                <w:spacing w:val="-2"/>
              </w:rPr>
            </w:pPr>
            <w:r w:rsidRPr="004E0F02">
              <w:rPr>
                <w:spacing w:val="-2"/>
              </w:rPr>
              <w:t>Rada Główna Instytutów Badawczych</w:t>
            </w:r>
            <w:r w:rsidRPr="004E0F02">
              <w:rPr>
                <w:rStyle w:val="Odwoanieprzypisudolnego"/>
                <w:spacing w:val="-2"/>
              </w:rPr>
              <w:footnoteReference w:customMarkFollows="1" w:id="55"/>
              <w:t>18)</w:t>
            </w:r>
          </w:p>
        </w:tc>
        <w:tc>
          <w:tcPr>
            <w:tcW w:w="928" w:type="pct"/>
            <w:gridSpan w:val="4"/>
            <w:shd w:val="clear" w:color="auto" w:fill="auto"/>
          </w:tcPr>
          <w:p w14:paraId="1436D1F3" w14:textId="77777777" w:rsidR="00CE2D18" w:rsidRPr="004E0F02" w:rsidRDefault="00CE2D18" w:rsidP="00752D89">
            <w:pPr>
              <w:spacing w:line="240" w:lineRule="auto"/>
              <w:rPr>
                <w:spacing w:val="-2"/>
                <w:szCs w:val="24"/>
              </w:rPr>
            </w:pPr>
            <w:r w:rsidRPr="004E0F02">
              <w:rPr>
                <w:spacing w:val="-2"/>
                <w:szCs w:val="24"/>
              </w:rPr>
              <w:t>Określanie warunków ponownego wykorzystywania danych badawczych udostępnianych</w:t>
            </w:r>
            <w:r w:rsidR="00AF626C" w:rsidRPr="004E0F02">
              <w:rPr>
                <w:spacing w:val="-2"/>
                <w:szCs w:val="24"/>
              </w:rPr>
              <w:t xml:space="preserve"> w </w:t>
            </w:r>
            <w:r w:rsidRPr="004E0F02">
              <w:rPr>
                <w:spacing w:val="-2"/>
                <w:szCs w:val="24"/>
              </w:rPr>
              <w:t>publicznie dostępnych systemach teleinformatyczny</w:t>
            </w:r>
            <w:r w:rsidR="00752D89" w:rsidRPr="004E0F02">
              <w:rPr>
                <w:spacing w:val="-2"/>
                <w:szCs w:val="24"/>
              </w:rPr>
              <w:t>ch</w:t>
            </w:r>
            <w:r w:rsidRPr="004E0F02">
              <w:rPr>
                <w:spacing w:val="-2"/>
                <w:szCs w:val="24"/>
              </w:rPr>
              <w:t>, w szczególności</w:t>
            </w:r>
            <w:r w:rsidR="00AF626C" w:rsidRPr="004E0F02">
              <w:rPr>
                <w:spacing w:val="-2"/>
                <w:szCs w:val="24"/>
              </w:rPr>
              <w:t xml:space="preserve"> w </w:t>
            </w:r>
            <w:r w:rsidRPr="004E0F02">
              <w:rPr>
                <w:spacing w:val="-2"/>
                <w:szCs w:val="24"/>
              </w:rPr>
              <w:t xml:space="preserve">repozytorium instytucjonalnym lub tematycznym </w:t>
            </w:r>
          </w:p>
        </w:tc>
      </w:tr>
      <w:tr w:rsidR="00F90587" w:rsidRPr="004E0F02" w14:paraId="231F8BCA" w14:textId="77777777" w:rsidTr="00584B45">
        <w:trPr>
          <w:trHeight w:val="142"/>
        </w:trPr>
        <w:tc>
          <w:tcPr>
            <w:tcW w:w="1338" w:type="pct"/>
            <w:gridSpan w:val="3"/>
            <w:shd w:val="clear" w:color="auto" w:fill="auto"/>
          </w:tcPr>
          <w:p w14:paraId="10CDEFF0" w14:textId="77777777" w:rsidR="00F90587" w:rsidRPr="004E0F02" w:rsidRDefault="00F90587" w:rsidP="005A7699">
            <w:pPr>
              <w:tabs>
                <w:tab w:val="left" w:pos="1560"/>
              </w:tabs>
              <w:spacing w:line="240" w:lineRule="auto"/>
            </w:pPr>
            <w:r w:rsidRPr="004E0F02">
              <w:t>Organy administracji rządowej</w:t>
            </w:r>
            <w:r w:rsidR="005A7699" w:rsidRPr="004E0F02">
              <w:t xml:space="preserve"> (w tym jednostki podległe lub nadzorowane)</w:t>
            </w:r>
            <w:r w:rsidR="00580369" w:rsidRPr="004E0F02">
              <w:t xml:space="preserve"> oraz </w:t>
            </w:r>
            <w:r w:rsidRPr="004E0F02">
              <w:t>jednostki samorządu terytorialnego</w:t>
            </w:r>
          </w:p>
        </w:tc>
        <w:tc>
          <w:tcPr>
            <w:tcW w:w="1638" w:type="pct"/>
            <w:gridSpan w:val="12"/>
            <w:shd w:val="clear" w:color="auto" w:fill="auto"/>
          </w:tcPr>
          <w:p w14:paraId="477A86F4" w14:textId="2BF31714" w:rsidR="00F90587" w:rsidRPr="004E0F02" w:rsidRDefault="00801C4F" w:rsidP="009A0D0F">
            <w:pPr>
              <w:spacing w:line="240" w:lineRule="auto"/>
              <w:rPr>
                <w:spacing w:val="-2"/>
              </w:rPr>
            </w:pPr>
            <w:r w:rsidRPr="004E0F02">
              <w:rPr>
                <w:spacing w:val="-2"/>
              </w:rPr>
              <w:t xml:space="preserve">2807 </w:t>
            </w:r>
            <w:r w:rsidR="00F90587" w:rsidRPr="004E0F02">
              <w:rPr>
                <w:spacing w:val="-2"/>
              </w:rPr>
              <w:t xml:space="preserve">jednostek samorządu terytorialnego </w:t>
            </w:r>
          </w:p>
          <w:p w14:paraId="42982465" w14:textId="77777777" w:rsidR="00F90587" w:rsidRPr="004E0F02" w:rsidRDefault="00F90587" w:rsidP="009A0D0F">
            <w:pPr>
              <w:spacing w:line="240" w:lineRule="auto"/>
              <w:rPr>
                <w:spacing w:val="-2"/>
              </w:rPr>
            </w:pPr>
          </w:p>
          <w:p w14:paraId="61B903CA" w14:textId="77777777" w:rsidR="00F90587" w:rsidRPr="004E0F02" w:rsidRDefault="00077D84" w:rsidP="00077D84">
            <w:pPr>
              <w:spacing w:line="240" w:lineRule="auto"/>
              <w:rPr>
                <w:spacing w:val="-2"/>
              </w:rPr>
            </w:pPr>
            <w:r w:rsidRPr="004E0F02">
              <w:rPr>
                <w:spacing w:val="-2"/>
              </w:rPr>
              <w:t xml:space="preserve">KPRM, ministerstwa, urzędy centralne, </w:t>
            </w:r>
            <w:r w:rsidR="002866FE" w:rsidRPr="004E0F02">
              <w:rPr>
                <w:spacing w:val="-2"/>
              </w:rPr>
              <w:t xml:space="preserve">jednostki podległe lub nadzorowane, </w:t>
            </w:r>
            <w:r w:rsidRPr="004E0F02">
              <w:rPr>
                <w:spacing w:val="-2"/>
              </w:rPr>
              <w:t xml:space="preserve">rządowa administracja terenowa </w:t>
            </w:r>
            <w:r w:rsidR="00E950C1" w:rsidRPr="004E0F02">
              <w:rPr>
                <w:spacing w:val="-2"/>
              </w:rPr>
              <w:t>(liczba trudna do oszacowania)</w:t>
            </w:r>
          </w:p>
        </w:tc>
        <w:tc>
          <w:tcPr>
            <w:tcW w:w="1096" w:type="pct"/>
            <w:gridSpan w:val="8"/>
            <w:shd w:val="clear" w:color="auto" w:fill="auto"/>
          </w:tcPr>
          <w:p w14:paraId="11D35911" w14:textId="1DADFB6E" w:rsidR="00F90587" w:rsidRPr="004E0F02" w:rsidRDefault="00077D84" w:rsidP="009A0D0F">
            <w:pPr>
              <w:spacing w:line="240" w:lineRule="auto"/>
              <w:rPr>
                <w:spacing w:val="-2"/>
              </w:rPr>
            </w:pPr>
            <w:r w:rsidRPr="004E0F02">
              <w:rPr>
                <w:spacing w:val="-2"/>
              </w:rPr>
              <w:t>https://stat.gov.pl/statystyka</w:t>
            </w:r>
            <w:r w:rsidR="00E45B1D" w:rsidRPr="004E0F02">
              <w:rPr>
                <w:spacing w:val="-2"/>
              </w:rPr>
              <w:softHyphen/>
            </w:r>
            <w:r w:rsidR="00E45B1D" w:rsidRPr="004E0F02">
              <w:rPr>
                <w:spacing w:val="-2"/>
              </w:rPr>
              <w:noBreakHyphen/>
            </w:r>
            <w:r w:rsidRPr="004E0F02">
              <w:rPr>
                <w:spacing w:val="-2"/>
              </w:rPr>
              <w:t>regionalna/jednostki</w:t>
            </w:r>
            <w:r w:rsidR="00E45B1D" w:rsidRPr="004E0F02">
              <w:rPr>
                <w:spacing w:val="-2"/>
              </w:rPr>
              <w:softHyphen/>
            </w:r>
            <w:r w:rsidR="00E45B1D" w:rsidRPr="004E0F02">
              <w:rPr>
                <w:spacing w:val="-2"/>
              </w:rPr>
              <w:noBreakHyphen/>
            </w:r>
            <w:r w:rsidRPr="004E0F02">
              <w:rPr>
                <w:spacing w:val="-2"/>
              </w:rPr>
              <w:t>terytorialne/podzial</w:t>
            </w:r>
            <w:r w:rsidR="00E45B1D" w:rsidRPr="004E0F02">
              <w:rPr>
                <w:spacing w:val="-2"/>
              </w:rPr>
              <w:softHyphen/>
            </w:r>
            <w:r w:rsidR="00E45B1D" w:rsidRPr="004E0F02">
              <w:rPr>
                <w:spacing w:val="-2"/>
              </w:rPr>
              <w:noBreakHyphen/>
            </w:r>
            <w:r w:rsidRPr="004E0F02">
              <w:rPr>
                <w:spacing w:val="-2"/>
              </w:rPr>
              <w:t>administracyjny</w:t>
            </w:r>
            <w:r w:rsidR="00E45B1D" w:rsidRPr="004E0F02">
              <w:rPr>
                <w:spacing w:val="-2"/>
              </w:rPr>
              <w:softHyphen/>
            </w:r>
            <w:r w:rsidR="00E45B1D" w:rsidRPr="004E0F02">
              <w:rPr>
                <w:spacing w:val="-2"/>
              </w:rPr>
              <w:noBreakHyphen/>
            </w:r>
            <w:r w:rsidRPr="004E0F02">
              <w:rPr>
                <w:spacing w:val="-2"/>
              </w:rPr>
              <w:t>polski/</w:t>
            </w:r>
          </w:p>
        </w:tc>
        <w:tc>
          <w:tcPr>
            <w:tcW w:w="928" w:type="pct"/>
            <w:gridSpan w:val="4"/>
            <w:shd w:val="clear" w:color="auto" w:fill="auto"/>
          </w:tcPr>
          <w:p w14:paraId="740C9E3D" w14:textId="56904FD6" w:rsidR="00F90587" w:rsidRPr="004E0F02" w:rsidRDefault="00F90587" w:rsidP="00580369">
            <w:pPr>
              <w:spacing w:line="240" w:lineRule="auto"/>
              <w:rPr>
                <w:spacing w:val="-2"/>
                <w:sz w:val="20"/>
              </w:rPr>
            </w:pPr>
            <w:r w:rsidRPr="004E0F02">
              <w:rPr>
                <w:spacing w:val="-2"/>
                <w:sz w:val="20"/>
              </w:rPr>
              <w:t>Udostępniani</w:t>
            </w:r>
            <w:r w:rsidR="00E950C1" w:rsidRPr="004E0F02">
              <w:rPr>
                <w:spacing w:val="-2"/>
                <w:sz w:val="20"/>
              </w:rPr>
              <w:t>e</w:t>
            </w:r>
            <w:r w:rsidR="008C209E" w:rsidRPr="004E0F02">
              <w:rPr>
                <w:spacing w:val="-2"/>
                <w:sz w:val="20"/>
              </w:rPr>
              <w:t xml:space="preserve"> za pośrednictwem API</w:t>
            </w:r>
            <w:r w:rsidRPr="004E0F02">
              <w:rPr>
                <w:spacing w:val="-2"/>
                <w:sz w:val="20"/>
              </w:rPr>
              <w:t xml:space="preserve"> do ponownego wykorzystywania danych dynamicznych (w przypadku ich posiadania) oraz danych</w:t>
            </w:r>
            <w:r w:rsidR="00E45B1D" w:rsidRPr="004E0F02">
              <w:rPr>
                <w:spacing w:val="-2"/>
                <w:sz w:val="20"/>
              </w:rPr>
              <w:t xml:space="preserve"> o </w:t>
            </w:r>
            <w:r w:rsidRPr="004E0F02">
              <w:rPr>
                <w:spacing w:val="-2"/>
                <w:sz w:val="20"/>
              </w:rPr>
              <w:t>wysokiej wartość (w przypadku ich uwzględnienia</w:t>
            </w:r>
            <w:r w:rsidR="00E45B1D" w:rsidRPr="004E0F02">
              <w:rPr>
                <w:spacing w:val="-2"/>
                <w:sz w:val="20"/>
              </w:rPr>
              <w:t xml:space="preserve"> w </w:t>
            </w:r>
            <w:r w:rsidRPr="004E0F02">
              <w:rPr>
                <w:spacing w:val="-2"/>
                <w:sz w:val="20"/>
              </w:rPr>
              <w:t>akcie wykonawczym)</w:t>
            </w:r>
            <w:r w:rsidR="00580369" w:rsidRPr="004E0F02">
              <w:rPr>
                <w:spacing w:val="-2"/>
                <w:sz w:val="20"/>
              </w:rPr>
              <w:t xml:space="preserve">. Przed wydaniem aktu wykonawczego przez KE, nie jest możliwe wyczerpujące </w:t>
            </w:r>
            <w:r w:rsidR="00580369" w:rsidRPr="004E0F02">
              <w:rPr>
                <w:spacing w:val="-2"/>
                <w:sz w:val="20"/>
              </w:rPr>
              <w:lastRenderedPageBreak/>
              <w:t>określenie liczby tych podmiotów, ani ilości zasobów, które będą udostępniane przez API.</w:t>
            </w:r>
          </w:p>
        </w:tc>
      </w:tr>
      <w:tr w:rsidR="00081E11" w:rsidRPr="004E0F02" w14:paraId="1A9C4DDB" w14:textId="77777777" w:rsidTr="00584B45">
        <w:trPr>
          <w:trHeight w:val="142"/>
        </w:trPr>
        <w:tc>
          <w:tcPr>
            <w:tcW w:w="1338" w:type="pct"/>
            <w:gridSpan w:val="3"/>
            <w:shd w:val="clear" w:color="auto" w:fill="auto"/>
          </w:tcPr>
          <w:p w14:paraId="569FFD1F" w14:textId="00DDBADE" w:rsidR="003D1CD0" w:rsidRPr="004E0F02" w:rsidRDefault="003D1CD0" w:rsidP="005A7699">
            <w:pPr>
              <w:tabs>
                <w:tab w:val="left" w:pos="1560"/>
              </w:tabs>
              <w:spacing w:line="240" w:lineRule="auto"/>
              <w:rPr>
                <w:sz w:val="22"/>
                <w:szCs w:val="22"/>
              </w:rPr>
            </w:pPr>
            <w:r w:rsidRPr="004E0F02">
              <w:rPr>
                <w:spacing w:val="-2"/>
                <w:sz w:val="22"/>
                <w:szCs w:val="22"/>
              </w:rPr>
              <w:lastRenderedPageBreak/>
              <w:t>Jednostki sektora finansów publicznych, państwowe jednostki organizacyjne nieposiadające osobowości prawnej</w:t>
            </w:r>
          </w:p>
          <w:p w14:paraId="0AE0CBD2" w14:textId="79F8BE0D" w:rsidR="003D1CD0" w:rsidRPr="004E0F02" w:rsidRDefault="003D1CD0" w:rsidP="005A7699">
            <w:pPr>
              <w:tabs>
                <w:tab w:val="left" w:pos="1560"/>
              </w:tabs>
              <w:spacing w:line="240" w:lineRule="auto"/>
              <w:rPr>
                <w:spacing w:val="-2"/>
                <w:sz w:val="22"/>
                <w:szCs w:val="22"/>
              </w:rPr>
            </w:pPr>
          </w:p>
        </w:tc>
        <w:tc>
          <w:tcPr>
            <w:tcW w:w="1638" w:type="pct"/>
            <w:gridSpan w:val="12"/>
            <w:shd w:val="clear" w:color="auto" w:fill="auto"/>
          </w:tcPr>
          <w:p w14:paraId="6CF7E96A" w14:textId="1678E9AA" w:rsidR="00081E11" w:rsidRPr="004E0F02" w:rsidRDefault="003D1CD0" w:rsidP="009A0D0F">
            <w:pPr>
              <w:spacing w:line="240" w:lineRule="auto"/>
              <w:rPr>
                <w:spacing w:val="-2"/>
                <w:sz w:val="22"/>
                <w:szCs w:val="22"/>
              </w:rPr>
            </w:pPr>
            <w:r w:rsidRPr="004E0F02">
              <w:rPr>
                <w:spacing w:val="-2"/>
                <w:sz w:val="22"/>
                <w:szCs w:val="22"/>
              </w:rPr>
              <w:t>Dysponenci środków budżetu państwa</w:t>
            </w:r>
          </w:p>
        </w:tc>
        <w:tc>
          <w:tcPr>
            <w:tcW w:w="1096" w:type="pct"/>
            <w:gridSpan w:val="8"/>
            <w:shd w:val="clear" w:color="auto" w:fill="auto"/>
          </w:tcPr>
          <w:p w14:paraId="032DBF32" w14:textId="77777777" w:rsidR="003D1CD0" w:rsidRPr="004E0F02" w:rsidRDefault="003D1CD0" w:rsidP="003D1CD0">
            <w:pPr>
              <w:spacing w:line="240" w:lineRule="auto"/>
              <w:rPr>
                <w:rFonts w:eastAsia="Calibri" w:cs="Times New Roman"/>
                <w:spacing w:val="-2"/>
                <w:sz w:val="22"/>
                <w:szCs w:val="22"/>
              </w:rPr>
            </w:pPr>
            <w:r w:rsidRPr="004E0F02">
              <w:rPr>
                <w:spacing w:val="-2"/>
                <w:sz w:val="22"/>
                <w:szCs w:val="22"/>
              </w:rPr>
              <w:t xml:space="preserve">Ministerstwo Finansów </w:t>
            </w:r>
          </w:p>
          <w:p w14:paraId="7DC27533" w14:textId="77777777" w:rsidR="00081E11" w:rsidRPr="004E0F02" w:rsidRDefault="00081E11" w:rsidP="009A0D0F">
            <w:pPr>
              <w:spacing w:line="240" w:lineRule="auto"/>
              <w:rPr>
                <w:spacing w:val="-2"/>
                <w:sz w:val="22"/>
                <w:szCs w:val="22"/>
              </w:rPr>
            </w:pPr>
          </w:p>
        </w:tc>
        <w:tc>
          <w:tcPr>
            <w:tcW w:w="928" w:type="pct"/>
            <w:gridSpan w:val="4"/>
            <w:shd w:val="clear" w:color="auto" w:fill="auto"/>
          </w:tcPr>
          <w:p w14:paraId="281722BC" w14:textId="60747BAA" w:rsidR="00081E11" w:rsidRPr="004E0F02" w:rsidRDefault="00081E11" w:rsidP="00081E11">
            <w:pPr>
              <w:widowControl/>
              <w:autoSpaceDE/>
              <w:autoSpaceDN/>
              <w:adjustRightInd/>
              <w:spacing w:line="240" w:lineRule="auto"/>
              <w:ind w:left="37"/>
              <w:rPr>
                <w:spacing w:val="-2"/>
                <w:sz w:val="22"/>
                <w:szCs w:val="22"/>
              </w:rPr>
            </w:pPr>
            <w:r w:rsidRPr="004E0F02">
              <w:rPr>
                <w:spacing w:val="-2"/>
                <w:sz w:val="22"/>
                <w:szCs w:val="22"/>
              </w:rPr>
              <w:t xml:space="preserve">Udostępnianie posiadanych informacji sektora publicznego do ponownego wykorzystania w portalu dane.gov.pl </w:t>
            </w:r>
          </w:p>
        </w:tc>
      </w:tr>
      <w:tr w:rsidR="00CE2D18" w:rsidRPr="004E0F02" w14:paraId="5A414DF7" w14:textId="77777777" w:rsidTr="00584B45">
        <w:trPr>
          <w:trHeight w:val="142"/>
        </w:trPr>
        <w:tc>
          <w:tcPr>
            <w:tcW w:w="1338" w:type="pct"/>
            <w:gridSpan w:val="3"/>
            <w:shd w:val="clear" w:color="auto" w:fill="auto"/>
          </w:tcPr>
          <w:p w14:paraId="0C428127" w14:textId="77777777" w:rsidR="00CE2D18" w:rsidRPr="004E0F02" w:rsidRDefault="00CE2D18" w:rsidP="009A0D0F">
            <w:pPr>
              <w:tabs>
                <w:tab w:val="left" w:pos="1560"/>
              </w:tabs>
              <w:spacing w:line="240" w:lineRule="auto"/>
            </w:pPr>
            <w:r w:rsidRPr="004E0F02">
              <w:t>Obywatele</w:t>
            </w:r>
          </w:p>
        </w:tc>
        <w:tc>
          <w:tcPr>
            <w:tcW w:w="1638" w:type="pct"/>
            <w:gridSpan w:val="12"/>
            <w:shd w:val="clear" w:color="auto" w:fill="auto"/>
          </w:tcPr>
          <w:p w14:paraId="6E61748E" w14:textId="77777777" w:rsidR="00CE2D18" w:rsidRPr="004E0F02" w:rsidRDefault="00CE2D18" w:rsidP="009A0D0F">
            <w:pPr>
              <w:tabs>
                <w:tab w:val="left" w:pos="1560"/>
              </w:tabs>
              <w:spacing w:line="240" w:lineRule="auto"/>
              <w:rPr>
                <w:spacing w:val="-2"/>
              </w:rPr>
            </w:pPr>
            <w:r w:rsidRPr="004E0F02">
              <w:rPr>
                <w:spacing w:val="-2"/>
              </w:rPr>
              <w:t>Wszyscy obywatele RP</w:t>
            </w:r>
          </w:p>
        </w:tc>
        <w:tc>
          <w:tcPr>
            <w:tcW w:w="1096" w:type="pct"/>
            <w:gridSpan w:val="8"/>
            <w:shd w:val="clear" w:color="auto" w:fill="auto"/>
          </w:tcPr>
          <w:p w14:paraId="2BC15F0D" w14:textId="77777777" w:rsidR="00CE2D18" w:rsidRPr="004E0F02" w:rsidRDefault="00CE2D18" w:rsidP="009A0D0F">
            <w:pPr>
              <w:spacing w:line="240" w:lineRule="auto"/>
              <w:rPr>
                <w:spacing w:val="-2"/>
              </w:rPr>
            </w:pPr>
          </w:p>
        </w:tc>
        <w:tc>
          <w:tcPr>
            <w:tcW w:w="928" w:type="pct"/>
            <w:gridSpan w:val="4"/>
            <w:shd w:val="clear" w:color="auto" w:fill="auto"/>
          </w:tcPr>
          <w:p w14:paraId="34684C1E" w14:textId="77777777" w:rsidR="00CE2D18" w:rsidRPr="004E0F02" w:rsidRDefault="00CE2D18" w:rsidP="00BA3E42">
            <w:pPr>
              <w:pStyle w:val="Akapitzlist"/>
              <w:numPr>
                <w:ilvl w:val="0"/>
                <w:numId w:val="8"/>
              </w:numPr>
              <w:spacing w:line="240" w:lineRule="auto"/>
              <w:ind w:left="34" w:hanging="142"/>
              <w:rPr>
                <w:rFonts w:ascii="Times New Roman" w:hAnsi="Times New Roman"/>
                <w:spacing w:val="-2"/>
                <w:sz w:val="20"/>
                <w:szCs w:val="20"/>
              </w:rPr>
            </w:pPr>
            <w:r w:rsidRPr="004E0F02">
              <w:rPr>
                <w:rFonts w:ascii="Times New Roman" w:hAnsi="Times New Roman"/>
                <w:spacing w:val="-2"/>
                <w:sz w:val="20"/>
                <w:szCs w:val="20"/>
              </w:rPr>
              <w:t>dostęp do szerszego niż dotychczas zakresu informacji sektora publicznego,</w:t>
            </w:r>
          </w:p>
          <w:p w14:paraId="203CDEF0" w14:textId="77777777" w:rsidR="00CE2D18" w:rsidRPr="004E0F02" w:rsidRDefault="00CE2D18" w:rsidP="00BA3E42">
            <w:pPr>
              <w:pStyle w:val="Akapitzlist"/>
              <w:numPr>
                <w:ilvl w:val="0"/>
                <w:numId w:val="8"/>
              </w:numPr>
              <w:spacing w:line="240" w:lineRule="auto"/>
              <w:ind w:left="34" w:hanging="142"/>
              <w:rPr>
                <w:rFonts w:ascii="Times New Roman" w:hAnsi="Times New Roman"/>
                <w:spacing w:val="-2"/>
              </w:rPr>
            </w:pPr>
            <w:r w:rsidRPr="004E0F02">
              <w:rPr>
                <w:rFonts w:ascii="Times New Roman" w:hAnsi="Times New Roman"/>
                <w:spacing w:val="-2"/>
                <w:sz w:val="20"/>
                <w:szCs w:val="20"/>
              </w:rPr>
              <w:t>zmniejszenie kosztów bezpośrednich związanych z wykorzystywaniem informacji sektora publicznego.</w:t>
            </w:r>
          </w:p>
        </w:tc>
      </w:tr>
      <w:tr w:rsidR="00CE2D18" w:rsidRPr="004E0F02" w14:paraId="6A998049" w14:textId="77777777" w:rsidTr="0001659E">
        <w:trPr>
          <w:trHeight w:val="302"/>
        </w:trPr>
        <w:tc>
          <w:tcPr>
            <w:tcW w:w="5000" w:type="pct"/>
            <w:gridSpan w:val="27"/>
            <w:shd w:val="clear" w:color="auto" w:fill="99CCFF"/>
            <w:vAlign w:val="center"/>
          </w:tcPr>
          <w:p w14:paraId="1658E017" w14:textId="77777777" w:rsidR="00CE2D18" w:rsidRPr="004E0F02" w:rsidRDefault="00CE2D18" w:rsidP="009346F9">
            <w:pPr>
              <w:widowControl/>
              <w:numPr>
                <w:ilvl w:val="0"/>
                <w:numId w:val="1"/>
              </w:numPr>
              <w:autoSpaceDE/>
              <w:autoSpaceDN/>
              <w:adjustRightInd/>
              <w:spacing w:before="60" w:after="60" w:line="240" w:lineRule="auto"/>
              <w:ind w:left="318" w:hanging="284"/>
              <w:jc w:val="both"/>
              <w:rPr>
                <w:b/>
              </w:rPr>
            </w:pPr>
            <w:r w:rsidRPr="004E0F02">
              <w:rPr>
                <w:b/>
              </w:rPr>
              <w:t>Informacje na temat zakresu, czasu trwania</w:t>
            </w:r>
            <w:r w:rsidR="00AF626C" w:rsidRPr="004E0F02">
              <w:rPr>
                <w:b/>
              </w:rPr>
              <w:t xml:space="preserve"> i </w:t>
            </w:r>
            <w:r w:rsidRPr="004E0F02">
              <w:rPr>
                <w:b/>
              </w:rPr>
              <w:t>podsumowanie wyników konsultacji</w:t>
            </w:r>
          </w:p>
        </w:tc>
      </w:tr>
      <w:tr w:rsidR="00CE2D18" w:rsidRPr="004E0F02" w14:paraId="02BD4635" w14:textId="77777777" w:rsidTr="0001659E">
        <w:trPr>
          <w:trHeight w:val="342"/>
        </w:trPr>
        <w:tc>
          <w:tcPr>
            <w:tcW w:w="5000" w:type="pct"/>
            <w:gridSpan w:val="27"/>
            <w:shd w:val="clear" w:color="auto" w:fill="FFFFFF"/>
          </w:tcPr>
          <w:p w14:paraId="1DDB57A0" w14:textId="5068C6BC" w:rsidR="00CE2D18" w:rsidRPr="004E0F02" w:rsidRDefault="00CE2D18" w:rsidP="005E571A">
            <w:pPr>
              <w:spacing w:line="240" w:lineRule="auto"/>
              <w:jc w:val="both"/>
              <w:rPr>
                <w:spacing w:val="-2"/>
              </w:rPr>
            </w:pPr>
            <w:r w:rsidRPr="004E0F02">
              <w:rPr>
                <w:spacing w:val="-2"/>
              </w:rPr>
              <w:t>Projekt zost</w:t>
            </w:r>
            <w:r w:rsidR="005E571A">
              <w:rPr>
                <w:spacing w:val="-2"/>
              </w:rPr>
              <w:t>ał</w:t>
            </w:r>
            <w:r w:rsidRPr="004E0F02">
              <w:rPr>
                <w:spacing w:val="-2"/>
              </w:rPr>
              <w:t xml:space="preserve"> skierowany do konsultacji </w:t>
            </w:r>
            <w:r w:rsidR="006668D8" w:rsidRPr="004E0F02">
              <w:rPr>
                <w:spacing w:val="-2"/>
              </w:rPr>
              <w:t xml:space="preserve">publicznych oraz opiniowania </w:t>
            </w:r>
            <w:r w:rsidRPr="004E0F02">
              <w:rPr>
                <w:spacing w:val="-2"/>
              </w:rPr>
              <w:t>do szerokiego kręgu interesariuszy</w:t>
            </w:r>
            <w:r w:rsidR="00AF626C" w:rsidRPr="004E0F02">
              <w:rPr>
                <w:spacing w:val="-2"/>
              </w:rPr>
              <w:t xml:space="preserve"> z </w:t>
            </w:r>
            <w:r w:rsidRPr="004E0F02">
              <w:rPr>
                <w:spacing w:val="-2"/>
              </w:rPr>
              <w:t>co najmniej 2</w:t>
            </w:r>
            <w:r w:rsidR="00AF626C" w:rsidRPr="004E0F02">
              <w:rPr>
                <w:spacing w:val="-2"/>
              </w:rPr>
              <w:t>1 </w:t>
            </w:r>
            <w:r w:rsidRPr="004E0F02">
              <w:rPr>
                <w:spacing w:val="-2"/>
              </w:rPr>
              <w:t>dniowym terminem na przedstawienie stanowiska</w:t>
            </w:r>
            <w:r w:rsidR="00580369" w:rsidRPr="004E0F02">
              <w:rPr>
                <w:spacing w:val="-2"/>
              </w:rPr>
              <w:t xml:space="preserve"> </w:t>
            </w:r>
            <w:r w:rsidR="006668D8" w:rsidRPr="004E0F02">
              <w:rPr>
                <w:spacing w:val="-2"/>
              </w:rPr>
              <w:t>(lista podmiotów</w:t>
            </w:r>
            <w:r w:rsidR="00E45B1D" w:rsidRPr="004E0F02">
              <w:rPr>
                <w:spacing w:val="-2"/>
              </w:rPr>
              <w:t xml:space="preserve"> w </w:t>
            </w:r>
            <w:r w:rsidR="005E571A">
              <w:rPr>
                <w:spacing w:val="-2"/>
              </w:rPr>
              <w:t>pkt 13</w:t>
            </w:r>
            <w:r w:rsidR="006668D8" w:rsidRPr="004E0F02">
              <w:rPr>
                <w:spacing w:val="-2"/>
              </w:rPr>
              <w:t>)</w:t>
            </w:r>
            <w:r w:rsidR="00580369" w:rsidRPr="004E0F02">
              <w:rPr>
                <w:spacing w:val="-2"/>
              </w:rPr>
              <w:t>.</w:t>
            </w:r>
            <w:r w:rsidR="006668D8" w:rsidRPr="004E0F02">
              <w:rPr>
                <w:spacing w:val="-2"/>
              </w:rPr>
              <w:t xml:space="preserve"> </w:t>
            </w:r>
            <w:r w:rsidR="00AF626C" w:rsidRPr="004E0F02">
              <w:rPr>
                <w:spacing w:val="-2"/>
              </w:rPr>
              <w:t>Z </w:t>
            </w:r>
            <w:r w:rsidRPr="004E0F02">
              <w:rPr>
                <w:spacing w:val="-2"/>
              </w:rPr>
              <w:t>konsultacji</w:t>
            </w:r>
            <w:r w:rsidR="00580369" w:rsidRPr="004E0F02">
              <w:rPr>
                <w:spacing w:val="-2"/>
              </w:rPr>
              <w:t xml:space="preserve"> </w:t>
            </w:r>
            <w:r w:rsidRPr="004E0F02">
              <w:rPr>
                <w:spacing w:val="-2"/>
              </w:rPr>
              <w:t>zosta</w:t>
            </w:r>
            <w:r w:rsidR="005E571A">
              <w:rPr>
                <w:spacing w:val="-2"/>
              </w:rPr>
              <w:t>ł</w:t>
            </w:r>
            <w:r w:rsidRPr="004E0F02">
              <w:rPr>
                <w:spacing w:val="-2"/>
              </w:rPr>
              <w:t xml:space="preserve"> przygotowany raport.</w:t>
            </w:r>
          </w:p>
        </w:tc>
      </w:tr>
      <w:tr w:rsidR="00CE2D18" w:rsidRPr="004E0F02" w14:paraId="1F25034B" w14:textId="77777777" w:rsidTr="0001659E">
        <w:trPr>
          <w:trHeight w:val="363"/>
        </w:trPr>
        <w:tc>
          <w:tcPr>
            <w:tcW w:w="5000" w:type="pct"/>
            <w:gridSpan w:val="27"/>
            <w:shd w:val="clear" w:color="auto" w:fill="99CCFF"/>
            <w:vAlign w:val="center"/>
          </w:tcPr>
          <w:p w14:paraId="323B11C2" w14:textId="77777777" w:rsidR="00CE2D18" w:rsidRPr="004E0F02" w:rsidRDefault="00CE2D18" w:rsidP="009346F9">
            <w:pPr>
              <w:widowControl/>
              <w:numPr>
                <w:ilvl w:val="0"/>
                <w:numId w:val="1"/>
              </w:numPr>
              <w:autoSpaceDE/>
              <w:autoSpaceDN/>
              <w:adjustRightInd/>
              <w:spacing w:before="60" w:after="60" w:line="240" w:lineRule="auto"/>
              <w:ind w:left="318" w:hanging="284"/>
              <w:jc w:val="both"/>
              <w:rPr>
                <w:b/>
              </w:rPr>
            </w:pPr>
            <w:r w:rsidRPr="004E0F02">
              <w:rPr>
                <w:b/>
              </w:rPr>
              <w:t xml:space="preserve"> Wpływ na sektor finansów publicznych</w:t>
            </w:r>
          </w:p>
        </w:tc>
      </w:tr>
      <w:tr w:rsidR="00CE2D18" w:rsidRPr="004E0F02" w14:paraId="0C3DE302" w14:textId="77777777" w:rsidTr="0001659E">
        <w:trPr>
          <w:trHeight w:val="142"/>
        </w:trPr>
        <w:tc>
          <w:tcPr>
            <w:tcW w:w="1461" w:type="pct"/>
            <w:gridSpan w:val="4"/>
            <w:vMerge w:val="restart"/>
            <w:shd w:val="clear" w:color="auto" w:fill="FFFFFF"/>
          </w:tcPr>
          <w:p w14:paraId="69FC071F" w14:textId="77777777" w:rsidR="00CE2D18" w:rsidRPr="004E0F02" w:rsidRDefault="00CE2D18" w:rsidP="009A0D0F">
            <w:pPr>
              <w:spacing w:before="40" w:after="40"/>
              <w:rPr>
                <w:i/>
                <w:sz w:val="21"/>
                <w:szCs w:val="21"/>
              </w:rPr>
            </w:pPr>
            <w:r w:rsidRPr="004E0F02">
              <w:rPr>
                <w:sz w:val="21"/>
                <w:szCs w:val="21"/>
              </w:rPr>
              <w:t>(ceny stałe</w:t>
            </w:r>
            <w:r w:rsidR="00AF626C" w:rsidRPr="004E0F02">
              <w:rPr>
                <w:sz w:val="21"/>
                <w:szCs w:val="21"/>
              </w:rPr>
              <w:t xml:space="preserve"> z </w:t>
            </w:r>
            <w:r w:rsidRPr="004E0F02">
              <w:rPr>
                <w:sz w:val="21"/>
                <w:szCs w:val="21"/>
              </w:rPr>
              <w:t>202</w:t>
            </w:r>
            <w:r w:rsidR="00AF626C" w:rsidRPr="004E0F02">
              <w:rPr>
                <w:sz w:val="21"/>
                <w:szCs w:val="21"/>
              </w:rPr>
              <w:t>0 </w:t>
            </w:r>
            <w:r w:rsidRPr="004E0F02">
              <w:rPr>
                <w:sz w:val="21"/>
                <w:szCs w:val="21"/>
              </w:rPr>
              <w:t>r.)</w:t>
            </w:r>
          </w:p>
        </w:tc>
        <w:tc>
          <w:tcPr>
            <w:tcW w:w="3539" w:type="pct"/>
            <w:gridSpan w:val="23"/>
            <w:shd w:val="clear" w:color="auto" w:fill="FFFFFF"/>
          </w:tcPr>
          <w:p w14:paraId="04AA16EB" w14:textId="77777777" w:rsidR="00CE2D18" w:rsidRPr="004E0F02" w:rsidRDefault="00CE2D18" w:rsidP="009A0D0F">
            <w:pPr>
              <w:spacing w:before="40" w:after="40" w:line="240" w:lineRule="auto"/>
              <w:jc w:val="center"/>
              <w:rPr>
                <w:i/>
                <w:spacing w:val="-2"/>
                <w:sz w:val="21"/>
                <w:szCs w:val="21"/>
              </w:rPr>
            </w:pPr>
            <w:r w:rsidRPr="004E0F02">
              <w:rPr>
                <w:sz w:val="21"/>
                <w:szCs w:val="21"/>
              </w:rPr>
              <w:t>Skutki</w:t>
            </w:r>
            <w:r w:rsidR="00AF626C" w:rsidRPr="004E0F02">
              <w:rPr>
                <w:sz w:val="21"/>
                <w:szCs w:val="21"/>
              </w:rPr>
              <w:t xml:space="preserve"> w </w:t>
            </w:r>
            <w:r w:rsidRPr="004E0F02">
              <w:rPr>
                <w:sz w:val="21"/>
                <w:szCs w:val="21"/>
              </w:rPr>
              <w:t>okresie 1</w:t>
            </w:r>
            <w:r w:rsidR="00AF626C" w:rsidRPr="004E0F02">
              <w:rPr>
                <w:sz w:val="21"/>
                <w:szCs w:val="21"/>
              </w:rPr>
              <w:t>0 </w:t>
            </w:r>
            <w:r w:rsidRPr="004E0F02">
              <w:rPr>
                <w:sz w:val="21"/>
                <w:szCs w:val="21"/>
              </w:rPr>
              <w:t>lat od wejścia</w:t>
            </w:r>
            <w:r w:rsidR="00AF626C" w:rsidRPr="004E0F02">
              <w:rPr>
                <w:sz w:val="21"/>
                <w:szCs w:val="21"/>
              </w:rPr>
              <w:t xml:space="preserve"> w </w:t>
            </w:r>
            <w:r w:rsidRPr="004E0F02">
              <w:rPr>
                <w:sz w:val="21"/>
                <w:szCs w:val="21"/>
              </w:rPr>
              <w:t>życie zmian [mln zł]</w:t>
            </w:r>
          </w:p>
        </w:tc>
      </w:tr>
      <w:tr w:rsidR="00F61E7D" w:rsidRPr="004E0F02" w14:paraId="1C4EFE29" w14:textId="77777777" w:rsidTr="00F61E7D">
        <w:trPr>
          <w:trHeight w:val="142"/>
        </w:trPr>
        <w:tc>
          <w:tcPr>
            <w:tcW w:w="1461" w:type="pct"/>
            <w:gridSpan w:val="4"/>
            <w:vMerge/>
            <w:shd w:val="clear" w:color="auto" w:fill="FFFFFF"/>
          </w:tcPr>
          <w:p w14:paraId="3D3A6897" w14:textId="77777777" w:rsidR="00CE2D18" w:rsidRPr="004E0F02" w:rsidRDefault="00CE2D18" w:rsidP="009A0D0F">
            <w:pPr>
              <w:spacing w:before="40" w:after="40" w:line="240" w:lineRule="auto"/>
              <w:rPr>
                <w:i/>
                <w:sz w:val="21"/>
                <w:szCs w:val="21"/>
              </w:rPr>
            </w:pPr>
          </w:p>
        </w:tc>
        <w:tc>
          <w:tcPr>
            <w:tcW w:w="304" w:type="pct"/>
            <w:gridSpan w:val="2"/>
            <w:shd w:val="clear" w:color="auto" w:fill="FFFFFF"/>
          </w:tcPr>
          <w:p w14:paraId="04CB50C9" w14:textId="77777777" w:rsidR="00CE2D18" w:rsidRPr="004E0F02" w:rsidRDefault="00CE2D18" w:rsidP="009A0D0F">
            <w:pPr>
              <w:spacing w:line="240" w:lineRule="auto"/>
              <w:jc w:val="center"/>
              <w:rPr>
                <w:sz w:val="16"/>
                <w:szCs w:val="16"/>
              </w:rPr>
            </w:pPr>
            <w:r w:rsidRPr="004E0F02">
              <w:rPr>
                <w:sz w:val="16"/>
                <w:szCs w:val="16"/>
              </w:rPr>
              <w:t>0</w:t>
            </w:r>
          </w:p>
        </w:tc>
        <w:tc>
          <w:tcPr>
            <w:tcW w:w="269" w:type="pct"/>
            <w:gridSpan w:val="2"/>
            <w:shd w:val="clear" w:color="auto" w:fill="FFFFFF"/>
          </w:tcPr>
          <w:p w14:paraId="06E6E007" w14:textId="77777777" w:rsidR="00CE2D18" w:rsidRPr="004E0F02" w:rsidRDefault="00CE2D18" w:rsidP="009A0D0F">
            <w:pPr>
              <w:spacing w:line="240" w:lineRule="auto"/>
              <w:jc w:val="center"/>
              <w:rPr>
                <w:sz w:val="16"/>
                <w:szCs w:val="16"/>
              </w:rPr>
            </w:pPr>
            <w:r w:rsidRPr="004E0F02">
              <w:rPr>
                <w:sz w:val="16"/>
                <w:szCs w:val="16"/>
              </w:rPr>
              <w:t>1</w:t>
            </w:r>
          </w:p>
        </w:tc>
        <w:tc>
          <w:tcPr>
            <w:tcW w:w="269" w:type="pct"/>
            <w:gridSpan w:val="2"/>
            <w:shd w:val="clear" w:color="auto" w:fill="FFFFFF"/>
          </w:tcPr>
          <w:p w14:paraId="622D1813" w14:textId="77777777" w:rsidR="00CE2D18" w:rsidRPr="004E0F02" w:rsidRDefault="00CE2D18" w:rsidP="009A0D0F">
            <w:pPr>
              <w:spacing w:line="240" w:lineRule="auto"/>
              <w:jc w:val="center"/>
              <w:rPr>
                <w:sz w:val="16"/>
                <w:szCs w:val="16"/>
              </w:rPr>
            </w:pPr>
            <w:r w:rsidRPr="004E0F02">
              <w:rPr>
                <w:sz w:val="16"/>
                <w:szCs w:val="16"/>
              </w:rPr>
              <w:t>2</w:t>
            </w:r>
          </w:p>
        </w:tc>
        <w:tc>
          <w:tcPr>
            <w:tcW w:w="269" w:type="pct"/>
            <w:gridSpan w:val="2"/>
            <w:shd w:val="clear" w:color="auto" w:fill="FFFFFF"/>
          </w:tcPr>
          <w:p w14:paraId="77017F32" w14:textId="77777777" w:rsidR="00CE2D18" w:rsidRPr="004E0F02" w:rsidRDefault="00CE2D18" w:rsidP="009A0D0F">
            <w:pPr>
              <w:spacing w:line="240" w:lineRule="auto"/>
              <w:jc w:val="center"/>
              <w:rPr>
                <w:sz w:val="16"/>
                <w:szCs w:val="16"/>
              </w:rPr>
            </w:pPr>
            <w:r w:rsidRPr="004E0F02">
              <w:rPr>
                <w:sz w:val="16"/>
                <w:szCs w:val="16"/>
              </w:rPr>
              <w:t>3</w:t>
            </w:r>
          </w:p>
        </w:tc>
        <w:tc>
          <w:tcPr>
            <w:tcW w:w="269" w:type="pct"/>
            <w:gridSpan w:val="2"/>
            <w:shd w:val="clear" w:color="auto" w:fill="FFFFFF"/>
          </w:tcPr>
          <w:p w14:paraId="0F798965" w14:textId="77777777" w:rsidR="00CE2D18" w:rsidRPr="004E0F02" w:rsidRDefault="00CE2D18" w:rsidP="009A0D0F">
            <w:pPr>
              <w:spacing w:line="240" w:lineRule="auto"/>
              <w:jc w:val="center"/>
              <w:rPr>
                <w:sz w:val="16"/>
                <w:szCs w:val="16"/>
              </w:rPr>
            </w:pPr>
            <w:r w:rsidRPr="004E0F02">
              <w:rPr>
                <w:sz w:val="16"/>
                <w:szCs w:val="16"/>
              </w:rPr>
              <w:t>4</w:t>
            </w:r>
          </w:p>
        </w:tc>
        <w:tc>
          <w:tcPr>
            <w:tcW w:w="281" w:type="pct"/>
            <w:gridSpan w:val="2"/>
            <w:shd w:val="clear" w:color="auto" w:fill="FFFFFF"/>
          </w:tcPr>
          <w:p w14:paraId="44988E48" w14:textId="77777777" w:rsidR="00CE2D18" w:rsidRPr="004E0F02" w:rsidRDefault="00CE2D18" w:rsidP="009A0D0F">
            <w:pPr>
              <w:spacing w:line="240" w:lineRule="auto"/>
              <w:jc w:val="center"/>
              <w:rPr>
                <w:sz w:val="16"/>
                <w:szCs w:val="16"/>
              </w:rPr>
            </w:pPr>
            <w:r w:rsidRPr="004E0F02">
              <w:rPr>
                <w:sz w:val="16"/>
                <w:szCs w:val="16"/>
              </w:rPr>
              <w:t>5</w:t>
            </w:r>
          </w:p>
        </w:tc>
        <w:tc>
          <w:tcPr>
            <w:tcW w:w="324" w:type="pct"/>
            <w:gridSpan w:val="3"/>
            <w:shd w:val="clear" w:color="auto" w:fill="FFFFFF"/>
          </w:tcPr>
          <w:p w14:paraId="2B97288A" w14:textId="77777777" w:rsidR="00CE2D18" w:rsidRPr="004E0F02" w:rsidRDefault="00CE2D18" w:rsidP="009A0D0F">
            <w:pPr>
              <w:spacing w:line="240" w:lineRule="auto"/>
              <w:jc w:val="center"/>
              <w:rPr>
                <w:sz w:val="16"/>
                <w:szCs w:val="16"/>
              </w:rPr>
            </w:pPr>
            <w:r w:rsidRPr="004E0F02">
              <w:rPr>
                <w:sz w:val="16"/>
                <w:szCs w:val="16"/>
              </w:rPr>
              <w:t>6</w:t>
            </w:r>
          </w:p>
        </w:tc>
        <w:tc>
          <w:tcPr>
            <w:tcW w:w="313" w:type="pct"/>
            <w:gridSpan w:val="2"/>
            <w:shd w:val="clear" w:color="auto" w:fill="FFFFFF"/>
          </w:tcPr>
          <w:p w14:paraId="60FAFB71" w14:textId="77777777" w:rsidR="00CE2D18" w:rsidRPr="004E0F02" w:rsidRDefault="00CE2D18" w:rsidP="009A0D0F">
            <w:pPr>
              <w:spacing w:line="240" w:lineRule="auto"/>
              <w:jc w:val="center"/>
              <w:rPr>
                <w:sz w:val="16"/>
                <w:szCs w:val="16"/>
              </w:rPr>
            </w:pPr>
            <w:r w:rsidRPr="004E0F02">
              <w:rPr>
                <w:sz w:val="16"/>
                <w:szCs w:val="16"/>
              </w:rPr>
              <w:t>7</w:t>
            </w:r>
          </w:p>
        </w:tc>
        <w:tc>
          <w:tcPr>
            <w:tcW w:w="313" w:type="pct"/>
            <w:gridSpan w:val="2"/>
            <w:shd w:val="clear" w:color="auto" w:fill="FFFFFF"/>
          </w:tcPr>
          <w:p w14:paraId="178CF891" w14:textId="77777777" w:rsidR="00CE2D18" w:rsidRPr="004E0F02" w:rsidRDefault="00CE2D18" w:rsidP="009A0D0F">
            <w:pPr>
              <w:spacing w:line="240" w:lineRule="auto"/>
              <w:jc w:val="center"/>
              <w:rPr>
                <w:sz w:val="16"/>
                <w:szCs w:val="16"/>
              </w:rPr>
            </w:pPr>
            <w:r w:rsidRPr="004E0F02">
              <w:rPr>
                <w:sz w:val="16"/>
                <w:szCs w:val="16"/>
              </w:rPr>
              <w:t>8</w:t>
            </w:r>
          </w:p>
        </w:tc>
        <w:tc>
          <w:tcPr>
            <w:tcW w:w="314" w:type="pct"/>
            <w:shd w:val="clear" w:color="auto" w:fill="FFFFFF"/>
          </w:tcPr>
          <w:p w14:paraId="16289657" w14:textId="77777777" w:rsidR="00CE2D18" w:rsidRPr="004E0F02" w:rsidRDefault="00CE2D18" w:rsidP="009A0D0F">
            <w:pPr>
              <w:spacing w:line="240" w:lineRule="auto"/>
              <w:jc w:val="center"/>
              <w:rPr>
                <w:sz w:val="16"/>
                <w:szCs w:val="16"/>
              </w:rPr>
            </w:pPr>
            <w:r w:rsidRPr="004E0F02">
              <w:rPr>
                <w:sz w:val="16"/>
                <w:szCs w:val="16"/>
              </w:rPr>
              <w:t>9</w:t>
            </w:r>
          </w:p>
        </w:tc>
        <w:tc>
          <w:tcPr>
            <w:tcW w:w="313" w:type="pct"/>
            <w:shd w:val="clear" w:color="auto" w:fill="FFFFFF"/>
          </w:tcPr>
          <w:p w14:paraId="2E1C3BE8" w14:textId="77777777" w:rsidR="00CE2D18" w:rsidRPr="004E0F02" w:rsidRDefault="00CE2D18" w:rsidP="009A0D0F">
            <w:pPr>
              <w:spacing w:line="240" w:lineRule="auto"/>
              <w:jc w:val="center"/>
              <w:rPr>
                <w:sz w:val="16"/>
                <w:szCs w:val="16"/>
              </w:rPr>
            </w:pPr>
            <w:r w:rsidRPr="004E0F02">
              <w:rPr>
                <w:sz w:val="16"/>
                <w:szCs w:val="16"/>
              </w:rPr>
              <w:t>10</w:t>
            </w:r>
          </w:p>
        </w:tc>
        <w:tc>
          <w:tcPr>
            <w:tcW w:w="301" w:type="pct"/>
            <w:gridSpan w:val="2"/>
            <w:shd w:val="clear" w:color="auto" w:fill="FFFFFF"/>
          </w:tcPr>
          <w:p w14:paraId="0C3304E2" w14:textId="56331D7F" w:rsidR="00CE2D18" w:rsidRPr="004E0F02" w:rsidRDefault="00CE2D18" w:rsidP="009A0D0F">
            <w:pPr>
              <w:spacing w:before="40" w:after="40" w:line="240" w:lineRule="auto"/>
              <w:jc w:val="center"/>
              <w:rPr>
                <w:i/>
                <w:spacing w:val="-2"/>
                <w:sz w:val="16"/>
                <w:szCs w:val="16"/>
              </w:rPr>
            </w:pPr>
            <w:r w:rsidRPr="004E0F02">
              <w:rPr>
                <w:i/>
                <w:spacing w:val="-2"/>
                <w:sz w:val="16"/>
                <w:szCs w:val="16"/>
              </w:rPr>
              <w:t>Łącznie (</w:t>
            </w:r>
            <w:r w:rsidR="00E45B1D" w:rsidRPr="004E0F02">
              <w:rPr>
                <w:i/>
                <w:spacing w:val="-2"/>
                <w:sz w:val="16"/>
                <w:szCs w:val="16"/>
              </w:rPr>
              <w:t>0</w:t>
            </w:r>
            <w:r w:rsidR="00E45B1D" w:rsidRPr="004E0F02">
              <w:rPr>
                <w:i/>
                <w:spacing w:val="-2"/>
                <w:sz w:val="16"/>
                <w:szCs w:val="16"/>
              </w:rPr>
              <w:noBreakHyphen/>
            </w:r>
            <w:r w:rsidRPr="004E0F02">
              <w:rPr>
                <w:i/>
                <w:spacing w:val="-2"/>
                <w:sz w:val="16"/>
                <w:szCs w:val="16"/>
              </w:rPr>
              <w:t>10)</w:t>
            </w:r>
          </w:p>
        </w:tc>
      </w:tr>
      <w:tr w:rsidR="00F61E7D" w:rsidRPr="004E0F02" w14:paraId="16AE3FD9" w14:textId="77777777" w:rsidTr="00F61E7D">
        <w:trPr>
          <w:trHeight w:val="321"/>
        </w:trPr>
        <w:tc>
          <w:tcPr>
            <w:tcW w:w="1461" w:type="pct"/>
            <w:gridSpan w:val="4"/>
            <w:shd w:val="clear" w:color="auto" w:fill="FFFFFF"/>
            <w:vAlign w:val="center"/>
          </w:tcPr>
          <w:p w14:paraId="1D793D3E" w14:textId="77777777" w:rsidR="00CE2D18" w:rsidRPr="004E0F02" w:rsidRDefault="00CE2D18" w:rsidP="009A0D0F">
            <w:pPr>
              <w:spacing w:line="240" w:lineRule="auto"/>
              <w:rPr>
                <w:sz w:val="21"/>
                <w:szCs w:val="21"/>
              </w:rPr>
            </w:pPr>
            <w:r w:rsidRPr="004E0F02">
              <w:rPr>
                <w:b/>
                <w:sz w:val="21"/>
                <w:szCs w:val="21"/>
              </w:rPr>
              <w:t>Dochody ogółem</w:t>
            </w:r>
          </w:p>
        </w:tc>
        <w:tc>
          <w:tcPr>
            <w:tcW w:w="304" w:type="pct"/>
            <w:gridSpan w:val="2"/>
            <w:shd w:val="clear" w:color="auto" w:fill="FFFFFF"/>
          </w:tcPr>
          <w:p w14:paraId="4F2F3EE7"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628CF36A"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54631EFF"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79A8EF48"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60F08468" w14:textId="77777777" w:rsidR="00CE2D18" w:rsidRPr="004E0F02" w:rsidRDefault="00CE2D18" w:rsidP="009A0D0F">
            <w:pPr>
              <w:spacing w:line="240" w:lineRule="auto"/>
              <w:rPr>
                <w:sz w:val="16"/>
                <w:szCs w:val="16"/>
              </w:rPr>
            </w:pPr>
            <w:r w:rsidRPr="004E0F02">
              <w:rPr>
                <w:sz w:val="16"/>
                <w:szCs w:val="16"/>
              </w:rPr>
              <w:t>0</w:t>
            </w:r>
          </w:p>
        </w:tc>
        <w:tc>
          <w:tcPr>
            <w:tcW w:w="281" w:type="pct"/>
            <w:gridSpan w:val="2"/>
            <w:shd w:val="clear" w:color="auto" w:fill="FFFFFF"/>
          </w:tcPr>
          <w:p w14:paraId="06146F50" w14:textId="77777777" w:rsidR="00CE2D18" w:rsidRPr="004E0F02" w:rsidRDefault="00CE2D18" w:rsidP="009A0D0F">
            <w:pPr>
              <w:spacing w:line="240" w:lineRule="auto"/>
              <w:rPr>
                <w:sz w:val="16"/>
                <w:szCs w:val="16"/>
              </w:rPr>
            </w:pPr>
            <w:r w:rsidRPr="004E0F02">
              <w:rPr>
                <w:sz w:val="16"/>
                <w:szCs w:val="16"/>
              </w:rPr>
              <w:t>0</w:t>
            </w:r>
          </w:p>
        </w:tc>
        <w:tc>
          <w:tcPr>
            <w:tcW w:w="324" w:type="pct"/>
            <w:gridSpan w:val="3"/>
            <w:shd w:val="clear" w:color="auto" w:fill="FFFFFF"/>
          </w:tcPr>
          <w:p w14:paraId="58FF0842" w14:textId="77777777" w:rsidR="00CE2D18" w:rsidRPr="004E0F02" w:rsidRDefault="00CE2D18" w:rsidP="009A0D0F">
            <w:pPr>
              <w:spacing w:line="240" w:lineRule="auto"/>
              <w:rPr>
                <w:sz w:val="16"/>
                <w:szCs w:val="16"/>
              </w:rPr>
            </w:pPr>
            <w:r w:rsidRPr="004E0F02">
              <w:rPr>
                <w:sz w:val="16"/>
                <w:szCs w:val="16"/>
              </w:rPr>
              <w:t>0</w:t>
            </w:r>
          </w:p>
        </w:tc>
        <w:tc>
          <w:tcPr>
            <w:tcW w:w="313" w:type="pct"/>
            <w:gridSpan w:val="2"/>
            <w:shd w:val="clear" w:color="auto" w:fill="FFFFFF"/>
          </w:tcPr>
          <w:p w14:paraId="4AECAEA8" w14:textId="77777777" w:rsidR="00CE2D18" w:rsidRPr="004E0F02" w:rsidRDefault="00CE2D18" w:rsidP="009A0D0F">
            <w:pPr>
              <w:spacing w:line="240" w:lineRule="auto"/>
              <w:rPr>
                <w:sz w:val="16"/>
                <w:szCs w:val="16"/>
              </w:rPr>
            </w:pPr>
            <w:r w:rsidRPr="004E0F02">
              <w:rPr>
                <w:sz w:val="16"/>
                <w:szCs w:val="16"/>
              </w:rPr>
              <w:t>0</w:t>
            </w:r>
          </w:p>
        </w:tc>
        <w:tc>
          <w:tcPr>
            <w:tcW w:w="313" w:type="pct"/>
            <w:gridSpan w:val="2"/>
            <w:shd w:val="clear" w:color="auto" w:fill="FFFFFF"/>
          </w:tcPr>
          <w:p w14:paraId="74F54556" w14:textId="77777777" w:rsidR="00CE2D18" w:rsidRPr="004E0F02" w:rsidRDefault="00CE2D18" w:rsidP="009A0D0F">
            <w:pPr>
              <w:spacing w:line="240" w:lineRule="auto"/>
              <w:rPr>
                <w:sz w:val="16"/>
                <w:szCs w:val="16"/>
              </w:rPr>
            </w:pPr>
            <w:r w:rsidRPr="004E0F02">
              <w:rPr>
                <w:sz w:val="16"/>
                <w:szCs w:val="16"/>
              </w:rPr>
              <w:t>0</w:t>
            </w:r>
          </w:p>
        </w:tc>
        <w:tc>
          <w:tcPr>
            <w:tcW w:w="314" w:type="pct"/>
            <w:shd w:val="clear" w:color="auto" w:fill="FFFFFF"/>
          </w:tcPr>
          <w:p w14:paraId="0071DA13" w14:textId="77777777" w:rsidR="00CE2D18" w:rsidRPr="004E0F02" w:rsidRDefault="00CE2D18" w:rsidP="009A0D0F">
            <w:pPr>
              <w:spacing w:line="240" w:lineRule="auto"/>
              <w:rPr>
                <w:sz w:val="16"/>
                <w:szCs w:val="16"/>
              </w:rPr>
            </w:pPr>
            <w:r w:rsidRPr="004E0F02">
              <w:rPr>
                <w:sz w:val="16"/>
                <w:szCs w:val="16"/>
              </w:rPr>
              <w:t>0</w:t>
            </w:r>
          </w:p>
        </w:tc>
        <w:tc>
          <w:tcPr>
            <w:tcW w:w="313" w:type="pct"/>
            <w:shd w:val="clear" w:color="auto" w:fill="FFFFFF"/>
          </w:tcPr>
          <w:p w14:paraId="2AC7B8AF" w14:textId="77777777" w:rsidR="00CE2D18" w:rsidRPr="004E0F02" w:rsidRDefault="00CE2D18" w:rsidP="009A0D0F">
            <w:pPr>
              <w:spacing w:line="240" w:lineRule="auto"/>
              <w:rPr>
                <w:sz w:val="16"/>
                <w:szCs w:val="16"/>
              </w:rPr>
            </w:pPr>
            <w:r w:rsidRPr="004E0F02">
              <w:rPr>
                <w:sz w:val="16"/>
                <w:szCs w:val="16"/>
              </w:rPr>
              <w:t>0</w:t>
            </w:r>
          </w:p>
        </w:tc>
        <w:tc>
          <w:tcPr>
            <w:tcW w:w="301" w:type="pct"/>
            <w:gridSpan w:val="2"/>
            <w:shd w:val="clear" w:color="auto" w:fill="FFFFFF"/>
          </w:tcPr>
          <w:p w14:paraId="4B04EABD" w14:textId="77777777" w:rsidR="00CE2D18" w:rsidRPr="004E0F02" w:rsidRDefault="00CE2D18" w:rsidP="009A0D0F">
            <w:pPr>
              <w:spacing w:line="240" w:lineRule="auto"/>
              <w:rPr>
                <w:spacing w:val="-2"/>
                <w:sz w:val="16"/>
                <w:szCs w:val="16"/>
              </w:rPr>
            </w:pPr>
            <w:r w:rsidRPr="004E0F02">
              <w:rPr>
                <w:spacing w:val="-2"/>
                <w:sz w:val="16"/>
                <w:szCs w:val="16"/>
              </w:rPr>
              <w:t>0</w:t>
            </w:r>
          </w:p>
        </w:tc>
      </w:tr>
      <w:tr w:rsidR="00F61E7D" w:rsidRPr="004E0F02" w14:paraId="0F8A2003" w14:textId="77777777" w:rsidTr="00F61E7D">
        <w:trPr>
          <w:trHeight w:val="321"/>
        </w:trPr>
        <w:tc>
          <w:tcPr>
            <w:tcW w:w="1461" w:type="pct"/>
            <w:gridSpan w:val="4"/>
            <w:shd w:val="clear" w:color="auto" w:fill="FFFFFF"/>
            <w:vAlign w:val="center"/>
          </w:tcPr>
          <w:p w14:paraId="35D42845" w14:textId="77777777" w:rsidR="00CE2D18" w:rsidRPr="004E0F02" w:rsidRDefault="00CE2D18" w:rsidP="009A0D0F">
            <w:pPr>
              <w:spacing w:line="240" w:lineRule="auto"/>
              <w:rPr>
                <w:sz w:val="21"/>
                <w:szCs w:val="21"/>
              </w:rPr>
            </w:pPr>
            <w:r w:rsidRPr="004E0F02">
              <w:rPr>
                <w:sz w:val="21"/>
                <w:szCs w:val="21"/>
              </w:rPr>
              <w:t>budżet państwa</w:t>
            </w:r>
          </w:p>
        </w:tc>
        <w:tc>
          <w:tcPr>
            <w:tcW w:w="304" w:type="pct"/>
            <w:gridSpan w:val="2"/>
            <w:shd w:val="clear" w:color="auto" w:fill="FFFFFF"/>
          </w:tcPr>
          <w:p w14:paraId="2719C100"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220DDFFD"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0956AF3A"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5D8CEE07"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029477F6" w14:textId="77777777" w:rsidR="00CE2D18" w:rsidRPr="004E0F02" w:rsidRDefault="00CE2D18" w:rsidP="009A0D0F">
            <w:pPr>
              <w:spacing w:line="240" w:lineRule="auto"/>
              <w:rPr>
                <w:sz w:val="16"/>
                <w:szCs w:val="16"/>
              </w:rPr>
            </w:pPr>
            <w:r w:rsidRPr="004E0F02">
              <w:rPr>
                <w:sz w:val="16"/>
                <w:szCs w:val="16"/>
              </w:rPr>
              <w:t>0</w:t>
            </w:r>
          </w:p>
        </w:tc>
        <w:tc>
          <w:tcPr>
            <w:tcW w:w="281" w:type="pct"/>
            <w:gridSpan w:val="2"/>
            <w:shd w:val="clear" w:color="auto" w:fill="FFFFFF"/>
          </w:tcPr>
          <w:p w14:paraId="14CABDAF" w14:textId="77777777" w:rsidR="00CE2D18" w:rsidRPr="004E0F02" w:rsidRDefault="00CE2D18" w:rsidP="009A0D0F">
            <w:pPr>
              <w:spacing w:line="240" w:lineRule="auto"/>
              <w:rPr>
                <w:sz w:val="16"/>
                <w:szCs w:val="16"/>
              </w:rPr>
            </w:pPr>
            <w:r w:rsidRPr="004E0F02">
              <w:rPr>
                <w:sz w:val="16"/>
                <w:szCs w:val="16"/>
              </w:rPr>
              <w:t>0</w:t>
            </w:r>
          </w:p>
        </w:tc>
        <w:tc>
          <w:tcPr>
            <w:tcW w:w="324" w:type="pct"/>
            <w:gridSpan w:val="3"/>
            <w:shd w:val="clear" w:color="auto" w:fill="FFFFFF"/>
          </w:tcPr>
          <w:p w14:paraId="40DBA796" w14:textId="77777777" w:rsidR="00CE2D18" w:rsidRPr="004E0F02" w:rsidRDefault="00CE2D18" w:rsidP="009A0D0F">
            <w:pPr>
              <w:spacing w:line="240" w:lineRule="auto"/>
              <w:rPr>
                <w:sz w:val="16"/>
                <w:szCs w:val="16"/>
              </w:rPr>
            </w:pPr>
            <w:r w:rsidRPr="004E0F02">
              <w:rPr>
                <w:sz w:val="16"/>
                <w:szCs w:val="16"/>
              </w:rPr>
              <w:t>0</w:t>
            </w:r>
          </w:p>
        </w:tc>
        <w:tc>
          <w:tcPr>
            <w:tcW w:w="313" w:type="pct"/>
            <w:gridSpan w:val="2"/>
            <w:shd w:val="clear" w:color="auto" w:fill="FFFFFF"/>
          </w:tcPr>
          <w:p w14:paraId="45B8FB23" w14:textId="77777777" w:rsidR="00CE2D18" w:rsidRPr="004E0F02" w:rsidRDefault="00CE2D18" w:rsidP="009A0D0F">
            <w:pPr>
              <w:spacing w:line="240" w:lineRule="auto"/>
              <w:rPr>
                <w:sz w:val="16"/>
                <w:szCs w:val="16"/>
              </w:rPr>
            </w:pPr>
            <w:r w:rsidRPr="004E0F02">
              <w:rPr>
                <w:sz w:val="16"/>
                <w:szCs w:val="16"/>
              </w:rPr>
              <w:t>0</w:t>
            </w:r>
          </w:p>
        </w:tc>
        <w:tc>
          <w:tcPr>
            <w:tcW w:w="313" w:type="pct"/>
            <w:gridSpan w:val="2"/>
            <w:shd w:val="clear" w:color="auto" w:fill="FFFFFF"/>
          </w:tcPr>
          <w:p w14:paraId="648738CB" w14:textId="77777777" w:rsidR="00CE2D18" w:rsidRPr="004E0F02" w:rsidRDefault="00CE2D18" w:rsidP="009A0D0F">
            <w:pPr>
              <w:spacing w:line="240" w:lineRule="auto"/>
              <w:rPr>
                <w:sz w:val="16"/>
                <w:szCs w:val="16"/>
              </w:rPr>
            </w:pPr>
            <w:r w:rsidRPr="004E0F02">
              <w:rPr>
                <w:sz w:val="16"/>
                <w:szCs w:val="16"/>
              </w:rPr>
              <w:t>0</w:t>
            </w:r>
          </w:p>
        </w:tc>
        <w:tc>
          <w:tcPr>
            <w:tcW w:w="314" w:type="pct"/>
            <w:shd w:val="clear" w:color="auto" w:fill="FFFFFF"/>
          </w:tcPr>
          <w:p w14:paraId="329A9DBC" w14:textId="77777777" w:rsidR="00CE2D18" w:rsidRPr="004E0F02" w:rsidRDefault="00CE2D18" w:rsidP="009A0D0F">
            <w:pPr>
              <w:spacing w:line="240" w:lineRule="auto"/>
              <w:rPr>
                <w:sz w:val="16"/>
                <w:szCs w:val="16"/>
              </w:rPr>
            </w:pPr>
            <w:r w:rsidRPr="004E0F02">
              <w:rPr>
                <w:sz w:val="16"/>
                <w:szCs w:val="16"/>
              </w:rPr>
              <w:t>0</w:t>
            </w:r>
          </w:p>
        </w:tc>
        <w:tc>
          <w:tcPr>
            <w:tcW w:w="313" w:type="pct"/>
            <w:shd w:val="clear" w:color="auto" w:fill="FFFFFF"/>
          </w:tcPr>
          <w:p w14:paraId="70A214E7" w14:textId="77777777" w:rsidR="00CE2D18" w:rsidRPr="004E0F02" w:rsidRDefault="00CE2D18" w:rsidP="009A0D0F">
            <w:pPr>
              <w:spacing w:line="240" w:lineRule="auto"/>
              <w:rPr>
                <w:sz w:val="16"/>
                <w:szCs w:val="16"/>
              </w:rPr>
            </w:pPr>
            <w:r w:rsidRPr="004E0F02">
              <w:rPr>
                <w:sz w:val="16"/>
                <w:szCs w:val="16"/>
              </w:rPr>
              <w:t>0</w:t>
            </w:r>
          </w:p>
        </w:tc>
        <w:tc>
          <w:tcPr>
            <w:tcW w:w="301" w:type="pct"/>
            <w:gridSpan w:val="2"/>
            <w:shd w:val="clear" w:color="auto" w:fill="FFFFFF"/>
          </w:tcPr>
          <w:p w14:paraId="1508D96E" w14:textId="77777777" w:rsidR="00CE2D18" w:rsidRPr="004E0F02" w:rsidRDefault="00CE2D18" w:rsidP="009A0D0F">
            <w:pPr>
              <w:spacing w:line="240" w:lineRule="auto"/>
              <w:rPr>
                <w:spacing w:val="-2"/>
                <w:sz w:val="16"/>
                <w:szCs w:val="16"/>
              </w:rPr>
            </w:pPr>
            <w:r w:rsidRPr="004E0F02">
              <w:rPr>
                <w:spacing w:val="-2"/>
                <w:sz w:val="16"/>
                <w:szCs w:val="16"/>
              </w:rPr>
              <w:t>0</w:t>
            </w:r>
          </w:p>
        </w:tc>
      </w:tr>
      <w:tr w:rsidR="00F61E7D" w:rsidRPr="004E0F02" w14:paraId="09C49F97" w14:textId="77777777" w:rsidTr="00F61E7D">
        <w:trPr>
          <w:trHeight w:val="344"/>
        </w:trPr>
        <w:tc>
          <w:tcPr>
            <w:tcW w:w="1461" w:type="pct"/>
            <w:gridSpan w:val="4"/>
            <w:shd w:val="clear" w:color="auto" w:fill="FFFFFF"/>
            <w:vAlign w:val="center"/>
          </w:tcPr>
          <w:p w14:paraId="40FADEC5" w14:textId="77777777" w:rsidR="00CE2D18" w:rsidRPr="004E0F02" w:rsidRDefault="00CE2D18" w:rsidP="009A0D0F">
            <w:pPr>
              <w:spacing w:line="240" w:lineRule="auto"/>
              <w:rPr>
                <w:sz w:val="21"/>
                <w:szCs w:val="21"/>
              </w:rPr>
            </w:pPr>
            <w:r w:rsidRPr="004E0F02">
              <w:rPr>
                <w:sz w:val="21"/>
                <w:szCs w:val="21"/>
              </w:rPr>
              <w:t>JST</w:t>
            </w:r>
          </w:p>
        </w:tc>
        <w:tc>
          <w:tcPr>
            <w:tcW w:w="304" w:type="pct"/>
            <w:gridSpan w:val="2"/>
            <w:shd w:val="clear" w:color="auto" w:fill="FFFFFF"/>
          </w:tcPr>
          <w:p w14:paraId="7340F093"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1D5A1C68"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250095ED"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22847E44"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4FECB006" w14:textId="77777777" w:rsidR="00CE2D18" w:rsidRPr="004E0F02" w:rsidRDefault="00CE2D18" w:rsidP="009A0D0F">
            <w:pPr>
              <w:spacing w:line="240" w:lineRule="auto"/>
              <w:rPr>
                <w:sz w:val="16"/>
                <w:szCs w:val="16"/>
              </w:rPr>
            </w:pPr>
            <w:r w:rsidRPr="004E0F02">
              <w:rPr>
                <w:sz w:val="16"/>
                <w:szCs w:val="16"/>
              </w:rPr>
              <w:t>0</w:t>
            </w:r>
          </w:p>
        </w:tc>
        <w:tc>
          <w:tcPr>
            <w:tcW w:w="281" w:type="pct"/>
            <w:gridSpan w:val="2"/>
            <w:shd w:val="clear" w:color="auto" w:fill="FFFFFF"/>
          </w:tcPr>
          <w:p w14:paraId="4629AE4C" w14:textId="77777777" w:rsidR="00CE2D18" w:rsidRPr="004E0F02" w:rsidRDefault="00CE2D18" w:rsidP="009A0D0F">
            <w:pPr>
              <w:spacing w:line="240" w:lineRule="auto"/>
              <w:rPr>
                <w:sz w:val="16"/>
                <w:szCs w:val="16"/>
              </w:rPr>
            </w:pPr>
            <w:r w:rsidRPr="004E0F02">
              <w:rPr>
                <w:sz w:val="16"/>
                <w:szCs w:val="16"/>
              </w:rPr>
              <w:t>0</w:t>
            </w:r>
          </w:p>
        </w:tc>
        <w:tc>
          <w:tcPr>
            <w:tcW w:w="324" w:type="pct"/>
            <w:gridSpan w:val="3"/>
            <w:shd w:val="clear" w:color="auto" w:fill="FFFFFF"/>
          </w:tcPr>
          <w:p w14:paraId="48106476" w14:textId="77777777" w:rsidR="00CE2D18" w:rsidRPr="004E0F02" w:rsidRDefault="00CE2D18" w:rsidP="009A0D0F">
            <w:pPr>
              <w:spacing w:line="240" w:lineRule="auto"/>
              <w:rPr>
                <w:sz w:val="16"/>
                <w:szCs w:val="16"/>
              </w:rPr>
            </w:pPr>
            <w:r w:rsidRPr="004E0F02">
              <w:rPr>
                <w:sz w:val="16"/>
                <w:szCs w:val="16"/>
              </w:rPr>
              <w:t>0</w:t>
            </w:r>
          </w:p>
        </w:tc>
        <w:tc>
          <w:tcPr>
            <w:tcW w:w="313" w:type="pct"/>
            <w:gridSpan w:val="2"/>
            <w:shd w:val="clear" w:color="auto" w:fill="FFFFFF"/>
          </w:tcPr>
          <w:p w14:paraId="37EAEE51" w14:textId="77777777" w:rsidR="00CE2D18" w:rsidRPr="004E0F02" w:rsidRDefault="00CE2D18" w:rsidP="009A0D0F">
            <w:pPr>
              <w:spacing w:line="240" w:lineRule="auto"/>
              <w:rPr>
                <w:sz w:val="16"/>
                <w:szCs w:val="16"/>
              </w:rPr>
            </w:pPr>
            <w:r w:rsidRPr="004E0F02">
              <w:rPr>
                <w:sz w:val="16"/>
                <w:szCs w:val="16"/>
              </w:rPr>
              <w:t>0</w:t>
            </w:r>
          </w:p>
        </w:tc>
        <w:tc>
          <w:tcPr>
            <w:tcW w:w="313" w:type="pct"/>
            <w:gridSpan w:val="2"/>
            <w:shd w:val="clear" w:color="auto" w:fill="FFFFFF"/>
          </w:tcPr>
          <w:p w14:paraId="4AC55F09" w14:textId="77777777" w:rsidR="00CE2D18" w:rsidRPr="004E0F02" w:rsidRDefault="00CE2D18" w:rsidP="009A0D0F">
            <w:pPr>
              <w:spacing w:line="240" w:lineRule="auto"/>
              <w:rPr>
                <w:sz w:val="16"/>
                <w:szCs w:val="16"/>
              </w:rPr>
            </w:pPr>
            <w:r w:rsidRPr="004E0F02">
              <w:rPr>
                <w:sz w:val="16"/>
                <w:szCs w:val="16"/>
              </w:rPr>
              <w:t>0</w:t>
            </w:r>
          </w:p>
        </w:tc>
        <w:tc>
          <w:tcPr>
            <w:tcW w:w="314" w:type="pct"/>
            <w:shd w:val="clear" w:color="auto" w:fill="FFFFFF"/>
          </w:tcPr>
          <w:p w14:paraId="10DBAC4C" w14:textId="77777777" w:rsidR="00CE2D18" w:rsidRPr="004E0F02" w:rsidRDefault="00CE2D18" w:rsidP="009A0D0F">
            <w:pPr>
              <w:spacing w:line="240" w:lineRule="auto"/>
              <w:rPr>
                <w:sz w:val="16"/>
                <w:szCs w:val="16"/>
              </w:rPr>
            </w:pPr>
            <w:r w:rsidRPr="004E0F02">
              <w:rPr>
                <w:sz w:val="16"/>
                <w:szCs w:val="16"/>
              </w:rPr>
              <w:t>0</w:t>
            </w:r>
          </w:p>
        </w:tc>
        <w:tc>
          <w:tcPr>
            <w:tcW w:w="313" w:type="pct"/>
            <w:shd w:val="clear" w:color="auto" w:fill="FFFFFF"/>
          </w:tcPr>
          <w:p w14:paraId="566D92C9" w14:textId="77777777" w:rsidR="00CE2D18" w:rsidRPr="004E0F02" w:rsidRDefault="00CE2D18" w:rsidP="009A0D0F">
            <w:pPr>
              <w:spacing w:line="240" w:lineRule="auto"/>
              <w:rPr>
                <w:sz w:val="16"/>
                <w:szCs w:val="16"/>
              </w:rPr>
            </w:pPr>
            <w:r w:rsidRPr="004E0F02">
              <w:rPr>
                <w:sz w:val="16"/>
                <w:szCs w:val="16"/>
              </w:rPr>
              <w:t>0</w:t>
            </w:r>
          </w:p>
        </w:tc>
        <w:tc>
          <w:tcPr>
            <w:tcW w:w="301" w:type="pct"/>
            <w:gridSpan w:val="2"/>
            <w:shd w:val="clear" w:color="auto" w:fill="FFFFFF"/>
          </w:tcPr>
          <w:p w14:paraId="44A5052E" w14:textId="77777777" w:rsidR="00CE2D18" w:rsidRPr="004E0F02" w:rsidRDefault="00CE2D18" w:rsidP="009A0D0F">
            <w:pPr>
              <w:spacing w:line="240" w:lineRule="auto"/>
              <w:rPr>
                <w:sz w:val="16"/>
                <w:szCs w:val="16"/>
              </w:rPr>
            </w:pPr>
            <w:r w:rsidRPr="004E0F02">
              <w:rPr>
                <w:sz w:val="16"/>
                <w:szCs w:val="16"/>
              </w:rPr>
              <w:t>0</w:t>
            </w:r>
          </w:p>
        </w:tc>
      </w:tr>
      <w:tr w:rsidR="00F61E7D" w:rsidRPr="004E0F02" w14:paraId="450CA797" w14:textId="77777777" w:rsidTr="00F61E7D">
        <w:trPr>
          <w:trHeight w:val="344"/>
        </w:trPr>
        <w:tc>
          <w:tcPr>
            <w:tcW w:w="1461" w:type="pct"/>
            <w:gridSpan w:val="4"/>
            <w:shd w:val="clear" w:color="auto" w:fill="FFFFFF"/>
            <w:vAlign w:val="center"/>
          </w:tcPr>
          <w:p w14:paraId="572B0A38" w14:textId="77777777" w:rsidR="00CE2D18" w:rsidRPr="004E0F02" w:rsidRDefault="00CE2D18" w:rsidP="009A0D0F">
            <w:pPr>
              <w:spacing w:line="240" w:lineRule="auto"/>
              <w:rPr>
                <w:sz w:val="21"/>
                <w:szCs w:val="21"/>
              </w:rPr>
            </w:pPr>
            <w:r w:rsidRPr="004E0F02">
              <w:rPr>
                <w:sz w:val="21"/>
                <w:szCs w:val="21"/>
              </w:rPr>
              <w:t>pozostałe jednostki (oddzielnie)</w:t>
            </w:r>
          </w:p>
        </w:tc>
        <w:tc>
          <w:tcPr>
            <w:tcW w:w="304" w:type="pct"/>
            <w:gridSpan w:val="2"/>
            <w:shd w:val="clear" w:color="auto" w:fill="FFFFFF"/>
          </w:tcPr>
          <w:p w14:paraId="2933E02F"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462C3CBF"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2A2344C7"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26125485"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28413E12" w14:textId="77777777" w:rsidR="00CE2D18" w:rsidRPr="004E0F02" w:rsidRDefault="00CE2D18" w:rsidP="009A0D0F">
            <w:pPr>
              <w:spacing w:line="240" w:lineRule="auto"/>
              <w:rPr>
                <w:sz w:val="16"/>
                <w:szCs w:val="16"/>
              </w:rPr>
            </w:pPr>
            <w:r w:rsidRPr="004E0F02">
              <w:rPr>
                <w:sz w:val="16"/>
                <w:szCs w:val="16"/>
              </w:rPr>
              <w:t>0</w:t>
            </w:r>
          </w:p>
        </w:tc>
        <w:tc>
          <w:tcPr>
            <w:tcW w:w="281" w:type="pct"/>
            <w:gridSpan w:val="2"/>
            <w:shd w:val="clear" w:color="auto" w:fill="FFFFFF"/>
          </w:tcPr>
          <w:p w14:paraId="69F70484" w14:textId="77777777" w:rsidR="00CE2D18" w:rsidRPr="004E0F02" w:rsidRDefault="00CE2D18" w:rsidP="009A0D0F">
            <w:pPr>
              <w:spacing w:line="240" w:lineRule="auto"/>
              <w:rPr>
                <w:sz w:val="16"/>
                <w:szCs w:val="16"/>
              </w:rPr>
            </w:pPr>
            <w:r w:rsidRPr="004E0F02">
              <w:rPr>
                <w:sz w:val="16"/>
                <w:szCs w:val="16"/>
              </w:rPr>
              <w:t>0</w:t>
            </w:r>
          </w:p>
        </w:tc>
        <w:tc>
          <w:tcPr>
            <w:tcW w:w="324" w:type="pct"/>
            <w:gridSpan w:val="3"/>
            <w:shd w:val="clear" w:color="auto" w:fill="FFFFFF"/>
          </w:tcPr>
          <w:p w14:paraId="44751CD6" w14:textId="77777777" w:rsidR="00CE2D18" w:rsidRPr="004E0F02" w:rsidRDefault="00CE2D18" w:rsidP="009A0D0F">
            <w:pPr>
              <w:spacing w:line="240" w:lineRule="auto"/>
              <w:rPr>
                <w:sz w:val="16"/>
                <w:szCs w:val="16"/>
              </w:rPr>
            </w:pPr>
            <w:r w:rsidRPr="004E0F02">
              <w:rPr>
                <w:sz w:val="16"/>
                <w:szCs w:val="16"/>
              </w:rPr>
              <w:t>0</w:t>
            </w:r>
          </w:p>
        </w:tc>
        <w:tc>
          <w:tcPr>
            <w:tcW w:w="313" w:type="pct"/>
            <w:gridSpan w:val="2"/>
            <w:shd w:val="clear" w:color="auto" w:fill="FFFFFF"/>
          </w:tcPr>
          <w:p w14:paraId="5BE01243" w14:textId="77777777" w:rsidR="00CE2D18" w:rsidRPr="004E0F02" w:rsidRDefault="00CE2D18" w:rsidP="009A0D0F">
            <w:pPr>
              <w:spacing w:line="240" w:lineRule="auto"/>
              <w:rPr>
                <w:sz w:val="16"/>
                <w:szCs w:val="16"/>
              </w:rPr>
            </w:pPr>
            <w:r w:rsidRPr="004E0F02">
              <w:rPr>
                <w:sz w:val="16"/>
                <w:szCs w:val="16"/>
              </w:rPr>
              <w:t>0</w:t>
            </w:r>
          </w:p>
        </w:tc>
        <w:tc>
          <w:tcPr>
            <w:tcW w:w="313" w:type="pct"/>
            <w:gridSpan w:val="2"/>
            <w:shd w:val="clear" w:color="auto" w:fill="FFFFFF"/>
          </w:tcPr>
          <w:p w14:paraId="3E2969FC" w14:textId="77777777" w:rsidR="00CE2D18" w:rsidRPr="004E0F02" w:rsidRDefault="00CE2D18" w:rsidP="009A0D0F">
            <w:pPr>
              <w:spacing w:line="240" w:lineRule="auto"/>
              <w:rPr>
                <w:sz w:val="16"/>
                <w:szCs w:val="16"/>
              </w:rPr>
            </w:pPr>
            <w:r w:rsidRPr="004E0F02">
              <w:rPr>
                <w:sz w:val="16"/>
                <w:szCs w:val="16"/>
              </w:rPr>
              <w:t>0</w:t>
            </w:r>
          </w:p>
        </w:tc>
        <w:tc>
          <w:tcPr>
            <w:tcW w:w="314" w:type="pct"/>
            <w:shd w:val="clear" w:color="auto" w:fill="FFFFFF"/>
          </w:tcPr>
          <w:p w14:paraId="55D3B3A0" w14:textId="77777777" w:rsidR="00CE2D18" w:rsidRPr="004E0F02" w:rsidRDefault="00CE2D18" w:rsidP="009A0D0F">
            <w:pPr>
              <w:spacing w:line="240" w:lineRule="auto"/>
              <w:rPr>
                <w:sz w:val="16"/>
                <w:szCs w:val="16"/>
              </w:rPr>
            </w:pPr>
            <w:r w:rsidRPr="004E0F02">
              <w:rPr>
                <w:sz w:val="16"/>
                <w:szCs w:val="16"/>
              </w:rPr>
              <w:t>0</w:t>
            </w:r>
          </w:p>
        </w:tc>
        <w:tc>
          <w:tcPr>
            <w:tcW w:w="313" w:type="pct"/>
            <w:shd w:val="clear" w:color="auto" w:fill="FFFFFF"/>
          </w:tcPr>
          <w:p w14:paraId="359EDB1D" w14:textId="77777777" w:rsidR="00CE2D18" w:rsidRPr="004E0F02" w:rsidRDefault="00CE2D18" w:rsidP="009A0D0F">
            <w:pPr>
              <w:spacing w:line="240" w:lineRule="auto"/>
              <w:rPr>
                <w:sz w:val="16"/>
                <w:szCs w:val="16"/>
              </w:rPr>
            </w:pPr>
            <w:r w:rsidRPr="004E0F02">
              <w:rPr>
                <w:sz w:val="16"/>
                <w:szCs w:val="16"/>
              </w:rPr>
              <w:t>0</w:t>
            </w:r>
          </w:p>
        </w:tc>
        <w:tc>
          <w:tcPr>
            <w:tcW w:w="301" w:type="pct"/>
            <w:gridSpan w:val="2"/>
            <w:shd w:val="clear" w:color="auto" w:fill="FFFFFF"/>
          </w:tcPr>
          <w:p w14:paraId="2A48C725" w14:textId="77777777" w:rsidR="00CE2D18" w:rsidRPr="004E0F02" w:rsidRDefault="00CE2D18" w:rsidP="009A0D0F">
            <w:pPr>
              <w:spacing w:line="240" w:lineRule="auto"/>
              <w:rPr>
                <w:sz w:val="16"/>
                <w:szCs w:val="16"/>
              </w:rPr>
            </w:pPr>
            <w:r w:rsidRPr="004E0F02">
              <w:rPr>
                <w:sz w:val="16"/>
                <w:szCs w:val="16"/>
              </w:rPr>
              <w:t>0</w:t>
            </w:r>
          </w:p>
        </w:tc>
      </w:tr>
      <w:tr w:rsidR="00F61E7D" w:rsidRPr="004E0F02" w14:paraId="6D1C2907" w14:textId="77777777" w:rsidTr="00F61E7D">
        <w:trPr>
          <w:trHeight w:val="330"/>
        </w:trPr>
        <w:tc>
          <w:tcPr>
            <w:tcW w:w="1461" w:type="pct"/>
            <w:gridSpan w:val="4"/>
            <w:shd w:val="clear" w:color="auto" w:fill="FFFFFF"/>
            <w:vAlign w:val="center"/>
          </w:tcPr>
          <w:p w14:paraId="11861AD5" w14:textId="77777777" w:rsidR="00CE2D18" w:rsidRPr="004E0F02" w:rsidRDefault="00CE2D18" w:rsidP="009A0D0F">
            <w:pPr>
              <w:spacing w:line="240" w:lineRule="auto"/>
              <w:rPr>
                <w:sz w:val="21"/>
                <w:szCs w:val="21"/>
              </w:rPr>
            </w:pPr>
            <w:r w:rsidRPr="004E0F02">
              <w:rPr>
                <w:b/>
                <w:sz w:val="21"/>
                <w:szCs w:val="21"/>
              </w:rPr>
              <w:t>Wydatki ogółem</w:t>
            </w:r>
          </w:p>
        </w:tc>
        <w:tc>
          <w:tcPr>
            <w:tcW w:w="304" w:type="pct"/>
            <w:gridSpan w:val="2"/>
            <w:shd w:val="clear" w:color="auto" w:fill="FFFFFF"/>
          </w:tcPr>
          <w:p w14:paraId="60C02216" w14:textId="77777777" w:rsidR="00CE2D18" w:rsidRPr="004E0F02" w:rsidRDefault="00DC72CF" w:rsidP="009A0D0F">
            <w:pPr>
              <w:spacing w:line="240" w:lineRule="auto"/>
              <w:ind w:left="-93" w:right="-121"/>
              <w:jc w:val="center"/>
              <w:rPr>
                <w:sz w:val="16"/>
                <w:szCs w:val="16"/>
              </w:rPr>
            </w:pPr>
            <w:r w:rsidRPr="004E0F02">
              <w:rPr>
                <w:sz w:val="16"/>
                <w:szCs w:val="16"/>
              </w:rPr>
              <w:t>0,34</w:t>
            </w:r>
          </w:p>
        </w:tc>
        <w:tc>
          <w:tcPr>
            <w:tcW w:w="269" w:type="pct"/>
            <w:gridSpan w:val="2"/>
            <w:shd w:val="clear" w:color="auto" w:fill="FFFFFF"/>
          </w:tcPr>
          <w:p w14:paraId="45E8957C" w14:textId="77777777" w:rsidR="00CE2D18" w:rsidRPr="004E0F02" w:rsidRDefault="00CE2D18" w:rsidP="0001659E">
            <w:pPr>
              <w:spacing w:line="240" w:lineRule="auto"/>
              <w:ind w:left="-95" w:right="-118"/>
              <w:jc w:val="center"/>
              <w:rPr>
                <w:sz w:val="16"/>
                <w:szCs w:val="16"/>
              </w:rPr>
            </w:pPr>
            <w:r w:rsidRPr="004E0F02">
              <w:rPr>
                <w:sz w:val="16"/>
                <w:szCs w:val="16"/>
              </w:rPr>
              <w:t>0,625</w:t>
            </w:r>
          </w:p>
        </w:tc>
        <w:tc>
          <w:tcPr>
            <w:tcW w:w="269" w:type="pct"/>
            <w:gridSpan w:val="2"/>
            <w:shd w:val="clear" w:color="auto" w:fill="FFFFFF"/>
          </w:tcPr>
          <w:p w14:paraId="06BB9AAE" w14:textId="77777777" w:rsidR="00CE2D18" w:rsidRPr="004E0F02" w:rsidRDefault="00CE2D18" w:rsidP="0001659E">
            <w:pPr>
              <w:spacing w:line="240" w:lineRule="auto"/>
              <w:ind w:left="-95" w:right="-115"/>
              <w:jc w:val="center"/>
              <w:rPr>
                <w:sz w:val="16"/>
                <w:szCs w:val="16"/>
              </w:rPr>
            </w:pPr>
            <w:r w:rsidRPr="004E0F02">
              <w:rPr>
                <w:sz w:val="16"/>
                <w:szCs w:val="16"/>
              </w:rPr>
              <w:t>0,625</w:t>
            </w:r>
          </w:p>
        </w:tc>
        <w:tc>
          <w:tcPr>
            <w:tcW w:w="269" w:type="pct"/>
            <w:gridSpan w:val="2"/>
            <w:shd w:val="clear" w:color="auto" w:fill="FFFFFF"/>
          </w:tcPr>
          <w:p w14:paraId="6629B683" w14:textId="77777777" w:rsidR="00CE2D18" w:rsidRPr="004E0F02" w:rsidRDefault="00CE2D18" w:rsidP="0001659E">
            <w:pPr>
              <w:spacing w:line="240" w:lineRule="auto"/>
              <w:ind w:left="-95" w:right="-113"/>
              <w:jc w:val="center"/>
              <w:rPr>
                <w:sz w:val="16"/>
                <w:szCs w:val="16"/>
              </w:rPr>
            </w:pPr>
            <w:r w:rsidRPr="004E0F02">
              <w:rPr>
                <w:sz w:val="16"/>
                <w:szCs w:val="16"/>
              </w:rPr>
              <w:t>0,625</w:t>
            </w:r>
          </w:p>
        </w:tc>
        <w:tc>
          <w:tcPr>
            <w:tcW w:w="269" w:type="pct"/>
            <w:gridSpan w:val="2"/>
            <w:shd w:val="clear" w:color="auto" w:fill="FFFFFF"/>
          </w:tcPr>
          <w:p w14:paraId="694BAD5C" w14:textId="77777777" w:rsidR="00CE2D18" w:rsidRPr="004E0F02" w:rsidRDefault="00CE2D18" w:rsidP="0001659E">
            <w:pPr>
              <w:spacing w:line="240" w:lineRule="auto"/>
              <w:ind w:left="-95" w:right="-110"/>
              <w:jc w:val="center"/>
              <w:rPr>
                <w:sz w:val="16"/>
                <w:szCs w:val="16"/>
              </w:rPr>
            </w:pPr>
            <w:r w:rsidRPr="004E0F02">
              <w:rPr>
                <w:sz w:val="16"/>
                <w:szCs w:val="16"/>
              </w:rPr>
              <w:t>0,625</w:t>
            </w:r>
          </w:p>
        </w:tc>
        <w:tc>
          <w:tcPr>
            <w:tcW w:w="281" w:type="pct"/>
            <w:gridSpan w:val="2"/>
            <w:shd w:val="clear" w:color="auto" w:fill="FFFFFF"/>
          </w:tcPr>
          <w:p w14:paraId="1746803C" w14:textId="77777777" w:rsidR="00CE2D18" w:rsidRPr="004E0F02" w:rsidRDefault="00CE2D18" w:rsidP="0001659E">
            <w:pPr>
              <w:spacing w:line="240" w:lineRule="auto"/>
              <w:ind w:left="-95" w:right="-107"/>
              <w:jc w:val="center"/>
              <w:rPr>
                <w:sz w:val="16"/>
                <w:szCs w:val="16"/>
              </w:rPr>
            </w:pPr>
            <w:r w:rsidRPr="004E0F02">
              <w:rPr>
                <w:sz w:val="16"/>
                <w:szCs w:val="16"/>
              </w:rPr>
              <w:t>0,625</w:t>
            </w:r>
          </w:p>
        </w:tc>
        <w:tc>
          <w:tcPr>
            <w:tcW w:w="324" w:type="pct"/>
            <w:gridSpan w:val="3"/>
            <w:shd w:val="clear" w:color="auto" w:fill="FFFFFF"/>
          </w:tcPr>
          <w:p w14:paraId="06B24129" w14:textId="77777777" w:rsidR="00CE2D18" w:rsidRPr="004E0F02" w:rsidRDefault="00CE2D18" w:rsidP="0001659E">
            <w:pPr>
              <w:spacing w:line="240" w:lineRule="auto"/>
              <w:ind w:left="-95" w:right="-104"/>
              <w:jc w:val="center"/>
              <w:rPr>
                <w:sz w:val="16"/>
                <w:szCs w:val="16"/>
              </w:rPr>
            </w:pPr>
            <w:r w:rsidRPr="004E0F02">
              <w:rPr>
                <w:sz w:val="16"/>
                <w:szCs w:val="16"/>
              </w:rPr>
              <w:t>0,625</w:t>
            </w:r>
          </w:p>
        </w:tc>
        <w:tc>
          <w:tcPr>
            <w:tcW w:w="313" w:type="pct"/>
            <w:gridSpan w:val="2"/>
            <w:shd w:val="clear" w:color="auto" w:fill="FFFFFF"/>
          </w:tcPr>
          <w:p w14:paraId="7F7A80AE" w14:textId="77777777" w:rsidR="00CE2D18" w:rsidRPr="004E0F02" w:rsidRDefault="00CE2D18" w:rsidP="0001659E">
            <w:pPr>
              <w:spacing w:line="240" w:lineRule="auto"/>
              <w:ind w:left="-109" w:right="-102"/>
              <w:jc w:val="center"/>
              <w:rPr>
                <w:sz w:val="16"/>
                <w:szCs w:val="16"/>
              </w:rPr>
            </w:pPr>
            <w:r w:rsidRPr="004E0F02">
              <w:rPr>
                <w:sz w:val="16"/>
                <w:szCs w:val="16"/>
              </w:rPr>
              <w:t>0,625</w:t>
            </w:r>
          </w:p>
        </w:tc>
        <w:tc>
          <w:tcPr>
            <w:tcW w:w="313" w:type="pct"/>
            <w:gridSpan w:val="2"/>
            <w:shd w:val="clear" w:color="auto" w:fill="FFFFFF"/>
          </w:tcPr>
          <w:p w14:paraId="19A79BA8" w14:textId="77777777" w:rsidR="00CE2D18" w:rsidRPr="004E0F02" w:rsidRDefault="00CE2D18" w:rsidP="0001659E">
            <w:pPr>
              <w:spacing w:line="240" w:lineRule="auto"/>
              <w:ind w:left="-95" w:right="-99"/>
              <w:jc w:val="center"/>
              <w:rPr>
                <w:sz w:val="16"/>
                <w:szCs w:val="16"/>
              </w:rPr>
            </w:pPr>
            <w:r w:rsidRPr="004E0F02">
              <w:rPr>
                <w:sz w:val="16"/>
                <w:szCs w:val="16"/>
              </w:rPr>
              <w:t>0,625</w:t>
            </w:r>
          </w:p>
        </w:tc>
        <w:tc>
          <w:tcPr>
            <w:tcW w:w="314" w:type="pct"/>
            <w:shd w:val="clear" w:color="auto" w:fill="FFFFFF"/>
          </w:tcPr>
          <w:p w14:paraId="4E0B4D07" w14:textId="77777777" w:rsidR="00CE2D18" w:rsidRPr="004E0F02" w:rsidRDefault="00CE2D18" w:rsidP="0001659E">
            <w:pPr>
              <w:spacing w:line="240" w:lineRule="auto"/>
              <w:ind w:left="-95" w:right="-99"/>
              <w:jc w:val="center"/>
              <w:rPr>
                <w:sz w:val="16"/>
                <w:szCs w:val="16"/>
              </w:rPr>
            </w:pPr>
            <w:r w:rsidRPr="004E0F02">
              <w:rPr>
                <w:sz w:val="16"/>
                <w:szCs w:val="16"/>
              </w:rPr>
              <w:t>0,625</w:t>
            </w:r>
          </w:p>
        </w:tc>
        <w:tc>
          <w:tcPr>
            <w:tcW w:w="313" w:type="pct"/>
            <w:shd w:val="clear" w:color="auto" w:fill="FFFFFF"/>
          </w:tcPr>
          <w:p w14:paraId="2296ECF2" w14:textId="77777777" w:rsidR="00CE2D18" w:rsidRPr="004E0F02" w:rsidRDefault="00CE2D18" w:rsidP="0001659E">
            <w:pPr>
              <w:spacing w:line="240" w:lineRule="auto"/>
              <w:ind w:left="-95" w:right="-99"/>
              <w:jc w:val="center"/>
              <w:rPr>
                <w:sz w:val="16"/>
                <w:szCs w:val="16"/>
              </w:rPr>
            </w:pPr>
            <w:r w:rsidRPr="004E0F02">
              <w:rPr>
                <w:sz w:val="16"/>
                <w:szCs w:val="16"/>
              </w:rPr>
              <w:t>0,625</w:t>
            </w:r>
          </w:p>
        </w:tc>
        <w:tc>
          <w:tcPr>
            <w:tcW w:w="301" w:type="pct"/>
            <w:gridSpan w:val="2"/>
            <w:shd w:val="clear" w:color="auto" w:fill="FFFFFF"/>
          </w:tcPr>
          <w:p w14:paraId="130CCCDE" w14:textId="77777777" w:rsidR="00CE2D18" w:rsidRPr="004E0F02" w:rsidRDefault="00DC72CF" w:rsidP="00734A73">
            <w:pPr>
              <w:spacing w:line="240" w:lineRule="auto"/>
              <w:ind w:left="-75"/>
              <w:rPr>
                <w:sz w:val="16"/>
                <w:szCs w:val="16"/>
              </w:rPr>
            </w:pPr>
            <w:r w:rsidRPr="004E0F02">
              <w:rPr>
                <w:sz w:val="16"/>
                <w:szCs w:val="16"/>
              </w:rPr>
              <w:t>6,59</w:t>
            </w:r>
          </w:p>
        </w:tc>
      </w:tr>
      <w:tr w:rsidR="00F61E7D" w:rsidRPr="004E0F02" w14:paraId="70C47726" w14:textId="77777777" w:rsidTr="00F61E7D">
        <w:trPr>
          <w:trHeight w:val="330"/>
        </w:trPr>
        <w:tc>
          <w:tcPr>
            <w:tcW w:w="1461" w:type="pct"/>
            <w:gridSpan w:val="4"/>
            <w:shd w:val="clear" w:color="auto" w:fill="FFFFFF"/>
            <w:vAlign w:val="center"/>
          </w:tcPr>
          <w:p w14:paraId="6C5EDD36" w14:textId="77777777" w:rsidR="00CE2D18" w:rsidRPr="004E0F02" w:rsidRDefault="00CE2D18" w:rsidP="009A0D0F">
            <w:pPr>
              <w:spacing w:line="240" w:lineRule="auto"/>
              <w:rPr>
                <w:sz w:val="21"/>
                <w:szCs w:val="21"/>
              </w:rPr>
            </w:pPr>
            <w:r w:rsidRPr="004E0F02">
              <w:rPr>
                <w:sz w:val="21"/>
                <w:szCs w:val="21"/>
              </w:rPr>
              <w:t>budżet państwa</w:t>
            </w:r>
          </w:p>
        </w:tc>
        <w:tc>
          <w:tcPr>
            <w:tcW w:w="304" w:type="pct"/>
            <w:gridSpan w:val="2"/>
            <w:shd w:val="clear" w:color="auto" w:fill="FFFFFF"/>
          </w:tcPr>
          <w:p w14:paraId="0E596192" w14:textId="77777777" w:rsidR="00CE2D18" w:rsidRPr="004E0F02" w:rsidRDefault="00DC72CF" w:rsidP="009A0D0F">
            <w:pPr>
              <w:spacing w:line="240" w:lineRule="auto"/>
              <w:ind w:left="-93" w:right="-121"/>
              <w:jc w:val="center"/>
              <w:rPr>
                <w:sz w:val="16"/>
                <w:szCs w:val="16"/>
              </w:rPr>
            </w:pPr>
            <w:r w:rsidRPr="004E0F02">
              <w:rPr>
                <w:sz w:val="16"/>
                <w:szCs w:val="16"/>
              </w:rPr>
              <w:t>0,34</w:t>
            </w:r>
          </w:p>
        </w:tc>
        <w:tc>
          <w:tcPr>
            <w:tcW w:w="269" w:type="pct"/>
            <w:gridSpan w:val="2"/>
            <w:shd w:val="clear" w:color="auto" w:fill="FFFFFF"/>
          </w:tcPr>
          <w:p w14:paraId="1600E8BF" w14:textId="77777777" w:rsidR="00CE2D18" w:rsidRPr="004E0F02" w:rsidRDefault="00CE2D18" w:rsidP="0001659E">
            <w:pPr>
              <w:spacing w:line="240" w:lineRule="auto"/>
              <w:ind w:left="-95" w:right="-118"/>
              <w:jc w:val="center"/>
              <w:rPr>
                <w:sz w:val="16"/>
                <w:szCs w:val="16"/>
              </w:rPr>
            </w:pPr>
            <w:r w:rsidRPr="004E0F02">
              <w:rPr>
                <w:sz w:val="16"/>
                <w:szCs w:val="16"/>
              </w:rPr>
              <w:t>0,625</w:t>
            </w:r>
          </w:p>
        </w:tc>
        <w:tc>
          <w:tcPr>
            <w:tcW w:w="269" w:type="pct"/>
            <w:gridSpan w:val="2"/>
            <w:shd w:val="clear" w:color="auto" w:fill="FFFFFF"/>
          </w:tcPr>
          <w:p w14:paraId="3BED9E89" w14:textId="77777777" w:rsidR="00CE2D18" w:rsidRPr="004E0F02" w:rsidRDefault="00CE2D18" w:rsidP="0001659E">
            <w:pPr>
              <w:spacing w:line="240" w:lineRule="auto"/>
              <w:ind w:left="-95" w:right="-115"/>
              <w:jc w:val="center"/>
              <w:rPr>
                <w:sz w:val="16"/>
                <w:szCs w:val="16"/>
              </w:rPr>
            </w:pPr>
            <w:r w:rsidRPr="004E0F02">
              <w:rPr>
                <w:sz w:val="16"/>
                <w:szCs w:val="16"/>
              </w:rPr>
              <w:t>0,625</w:t>
            </w:r>
          </w:p>
        </w:tc>
        <w:tc>
          <w:tcPr>
            <w:tcW w:w="269" w:type="pct"/>
            <w:gridSpan w:val="2"/>
            <w:shd w:val="clear" w:color="auto" w:fill="FFFFFF"/>
          </w:tcPr>
          <w:p w14:paraId="25E7BB9F" w14:textId="77777777" w:rsidR="00CE2D18" w:rsidRPr="004E0F02" w:rsidRDefault="00CE2D18" w:rsidP="0001659E">
            <w:pPr>
              <w:spacing w:line="240" w:lineRule="auto"/>
              <w:ind w:left="-95" w:right="-113"/>
              <w:jc w:val="center"/>
              <w:rPr>
                <w:sz w:val="16"/>
                <w:szCs w:val="16"/>
              </w:rPr>
            </w:pPr>
            <w:r w:rsidRPr="004E0F02">
              <w:rPr>
                <w:sz w:val="16"/>
                <w:szCs w:val="16"/>
              </w:rPr>
              <w:t>0,625</w:t>
            </w:r>
          </w:p>
        </w:tc>
        <w:tc>
          <w:tcPr>
            <w:tcW w:w="269" w:type="pct"/>
            <w:gridSpan w:val="2"/>
            <w:shd w:val="clear" w:color="auto" w:fill="FFFFFF"/>
          </w:tcPr>
          <w:p w14:paraId="46159209" w14:textId="77777777" w:rsidR="00CE2D18" w:rsidRPr="004E0F02" w:rsidRDefault="00CE2D18" w:rsidP="0001659E">
            <w:pPr>
              <w:spacing w:line="240" w:lineRule="auto"/>
              <w:ind w:left="-95" w:right="-113"/>
              <w:jc w:val="center"/>
              <w:rPr>
                <w:sz w:val="16"/>
                <w:szCs w:val="16"/>
              </w:rPr>
            </w:pPr>
            <w:r w:rsidRPr="004E0F02">
              <w:rPr>
                <w:sz w:val="16"/>
                <w:szCs w:val="16"/>
              </w:rPr>
              <w:t>0,625</w:t>
            </w:r>
          </w:p>
        </w:tc>
        <w:tc>
          <w:tcPr>
            <w:tcW w:w="281" w:type="pct"/>
            <w:gridSpan w:val="2"/>
            <w:shd w:val="clear" w:color="auto" w:fill="FFFFFF"/>
          </w:tcPr>
          <w:p w14:paraId="449043DA" w14:textId="77777777" w:rsidR="00CE2D18" w:rsidRPr="004E0F02" w:rsidRDefault="00CE2D18" w:rsidP="0001659E">
            <w:pPr>
              <w:spacing w:line="240" w:lineRule="auto"/>
              <w:ind w:left="-95" w:right="-113"/>
              <w:jc w:val="center"/>
              <w:rPr>
                <w:sz w:val="16"/>
                <w:szCs w:val="16"/>
              </w:rPr>
            </w:pPr>
            <w:r w:rsidRPr="004E0F02">
              <w:rPr>
                <w:sz w:val="16"/>
                <w:szCs w:val="16"/>
              </w:rPr>
              <w:t>0,625</w:t>
            </w:r>
          </w:p>
        </w:tc>
        <w:tc>
          <w:tcPr>
            <w:tcW w:w="324" w:type="pct"/>
            <w:gridSpan w:val="3"/>
            <w:shd w:val="clear" w:color="auto" w:fill="FFFFFF"/>
          </w:tcPr>
          <w:p w14:paraId="6D87E134" w14:textId="77777777" w:rsidR="00CE2D18" w:rsidRPr="004E0F02" w:rsidRDefault="00CE2D18" w:rsidP="0001659E">
            <w:pPr>
              <w:spacing w:line="240" w:lineRule="auto"/>
              <w:ind w:left="-95" w:right="-113"/>
              <w:jc w:val="center"/>
              <w:rPr>
                <w:sz w:val="16"/>
                <w:szCs w:val="16"/>
              </w:rPr>
            </w:pPr>
            <w:r w:rsidRPr="004E0F02">
              <w:rPr>
                <w:sz w:val="16"/>
                <w:szCs w:val="16"/>
              </w:rPr>
              <w:t>0,625</w:t>
            </w:r>
          </w:p>
        </w:tc>
        <w:tc>
          <w:tcPr>
            <w:tcW w:w="313" w:type="pct"/>
            <w:gridSpan w:val="2"/>
            <w:shd w:val="clear" w:color="auto" w:fill="FFFFFF"/>
          </w:tcPr>
          <w:p w14:paraId="10D76E05" w14:textId="77777777" w:rsidR="00CE2D18" w:rsidRPr="004E0F02" w:rsidRDefault="00CE2D18" w:rsidP="0001659E">
            <w:pPr>
              <w:spacing w:line="240" w:lineRule="auto"/>
              <w:ind w:left="-95" w:right="-113"/>
              <w:jc w:val="center"/>
              <w:rPr>
                <w:sz w:val="16"/>
                <w:szCs w:val="16"/>
              </w:rPr>
            </w:pPr>
            <w:r w:rsidRPr="004E0F02">
              <w:rPr>
                <w:sz w:val="16"/>
                <w:szCs w:val="16"/>
              </w:rPr>
              <w:t>0,625</w:t>
            </w:r>
          </w:p>
        </w:tc>
        <w:tc>
          <w:tcPr>
            <w:tcW w:w="313" w:type="pct"/>
            <w:gridSpan w:val="2"/>
            <w:shd w:val="clear" w:color="auto" w:fill="FFFFFF"/>
          </w:tcPr>
          <w:p w14:paraId="33A47F79" w14:textId="77777777" w:rsidR="00CE2D18" w:rsidRPr="004E0F02" w:rsidRDefault="00CE2D18" w:rsidP="0001659E">
            <w:pPr>
              <w:spacing w:line="240" w:lineRule="auto"/>
              <w:ind w:left="-95" w:right="-113"/>
              <w:jc w:val="center"/>
              <w:rPr>
                <w:sz w:val="16"/>
                <w:szCs w:val="16"/>
              </w:rPr>
            </w:pPr>
            <w:r w:rsidRPr="004E0F02">
              <w:rPr>
                <w:sz w:val="16"/>
                <w:szCs w:val="16"/>
              </w:rPr>
              <w:t>0,625</w:t>
            </w:r>
          </w:p>
        </w:tc>
        <w:tc>
          <w:tcPr>
            <w:tcW w:w="314" w:type="pct"/>
            <w:shd w:val="clear" w:color="auto" w:fill="FFFFFF"/>
          </w:tcPr>
          <w:p w14:paraId="48BB0DA3" w14:textId="77777777" w:rsidR="00CE2D18" w:rsidRPr="004E0F02" w:rsidRDefault="00CE2D18" w:rsidP="0001659E">
            <w:pPr>
              <w:spacing w:line="240" w:lineRule="auto"/>
              <w:ind w:left="-95" w:right="-113"/>
              <w:jc w:val="center"/>
              <w:rPr>
                <w:sz w:val="16"/>
                <w:szCs w:val="16"/>
              </w:rPr>
            </w:pPr>
            <w:r w:rsidRPr="004E0F02">
              <w:rPr>
                <w:sz w:val="16"/>
                <w:szCs w:val="16"/>
              </w:rPr>
              <w:t>0,625</w:t>
            </w:r>
          </w:p>
        </w:tc>
        <w:tc>
          <w:tcPr>
            <w:tcW w:w="313" w:type="pct"/>
            <w:shd w:val="clear" w:color="auto" w:fill="FFFFFF"/>
          </w:tcPr>
          <w:p w14:paraId="4B070766" w14:textId="77777777" w:rsidR="00CE2D18" w:rsidRPr="004E0F02" w:rsidRDefault="00CE2D18" w:rsidP="0001659E">
            <w:pPr>
              <w:spacing w:line="240" w:lineRule="auto"/>
              <w:ind w:left="-95" w:right="-113"/>
              <w:jc w:val="center"/>
              <w:rPr>
                <w:sz w:val="16"/>
                <w:szCs w:val="16"/>
              </w:rPr>
            </w:pPr>
            <w:r w:rsidRPr="004E0F02">
              <w:rPr>
                <w:sz w:val="16"/>
                <w:szCs w:val="16"/>
              </w:rPr>
              <w:t>0,625</w:t>
            </w:r>
          </w:p>
        </w:tc>
        <w:tc>
          <w:tcPr>
            <w:tcW w:w="301" w:type="pct"/>
            <w:gridSpan w:val="2"/>
            <w:shd w:val="clear" w:color="auto" w:fill="FFFFFF"/>
          </w:tcPr>
          <w:p w14:paraId="67B39E15" w14:textId="77777777" w:rsidR="00CE2D18" w:rsidRPr="004E0F02" w:rsidRDefault="00DC72CF" w:rsidP="00580369">
            <w:pPr>
              <w:spacing w:line="240" w:lineRule="auto"/>
              <w:ind w:left="-75"/>
              <w:rPr>
                <w:sz w:val="16"/>
                <w:szCs w:val="16"/>
              </w:rPr>
            </w:pPr>
            <w:r w:rsidRPr="004E0F02">
              <w:rPr>
                <w:sz w:val="16"/>
                <w:szCs w:val="16"/>
              </w:rPr>
              <w:t>6,59</w:t>
            </w:r>
          </w:p>
        </w:tc>
      </w:tr>
      <w:tr w:rsidR="00F61E7D" w:rsidRPr="004E0F02" w14:paraId="3547DD19" w14:textId="77777777" w:rsidTr="00F61E7D">
        <w:trPr>
          <w:trHeight w:val="351"/>
        </w:trPr>
        <w:tc>
          <w:tcPr>
            <w:tcW w:w="1461" w:type="pct"/>
            <w:gridSpan w:val="4"/>
            <w:shd w:val="clear" w:color="auto" w:fill="FFFFFF"/>
            <w:vAlign w:val="center"/>
          </w:tcPr>
          <w:p w14:paraId="3C1BDFBF" w14:textId="77777777" w:rsidR="00CE2D18" w:rsidRPr="004E0F02" w:rsidRDefault="00CE2D18" w:rsidP="009A0D0F">
            <w:pPr>
              <w:spacing w:line="240" w:lineRule="auto"/>
              <w:rPr>
                <w:sz w:val="21"/>
                <w:szCs w:val="21"/>
              </w:rPr>
            </w:pPr>
            <w:r w:rsidRPr="004E0F02">
              <w:rPr>
                <w:sz w:val="21"/>
                <w:szCs w:val="21"/>
              </w:rPr>
              <w:t>JST</w:t>
            </w:r>
          </w:p>
        </w:tc>
        <w:tc>
          <w:tcPr>
            <w:tcW w:w="304" w:type="pct"/>
            <w:gridSpan w:val="2"/>
            <w:shd w:val="clear" w:color="auto" w:fill="FFFFFF"/>
          </w:tcPr>
          <w:p w14:paraId="14636E71"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4590A68A"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5951CC88"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3220536D"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1D2D4428" w14:textId="77777777" w:rsidR="00CE2D18" w:rsidRPr="004E0F02" w:rsidRDefault="00CE2D18" w:rsidP="0001659E">
            <w:pPr>
              <w:spacing w:line="240" w:lineRule="auto"/>
              <w:ind w:left="-95"/>
              <w:rPr>
                <w:sz w:val="16"/>
                <w:szCs w:val="16"/>
              </w:rPr>
            </w:pPr>
            <w:r w:rsidRPr="004E0F02">
              <w:rPr>
                <w:sz w:val="16"/>
                <w:szCs w:val="16"/>
              </w:rPr>
              <w:t>0</w:t>
            </w:r>
          </w:p>
        </w:tc>
        <w:tc>
          <w:tcPr>
            <w:tcW w:w="281" w:type="pct"/>
            <w:gridSpan w:val="2"/>
            <w:shd w:val="clear" w:color="auto" w:fill="FFFFFF"/>
          </w:tcPr>
          <w:p w14:paraId="6C9C77EA" w14:textId="77777777" w:rsidR="00CE2D18" w:rsidRPr="004E0F02" w:rsidRDefault="00CE2D18" w:rsidP="0001659E">
            <w:pPr>
              <w:spacing w:line="240" w:lineRule="auto"/>
              <w:ind w:left="-95"/>
              <w:rPr>
                <w:sz w:val="16"/>
                <w:szCs w:val="16"/>
              </w:rPr>
            </w:pPr>
            <w:r w:rsidRPr="004E0F02">
              <w:rPr>
                <w:sz w:val="16"/>
                <w:szCs w:val="16"/>
              </w:rPr>
              <w:t>0</w:t>
            </w:r>
          </w:p>
        </w:tc>
        <w:tc>
          <w:tcPr>
            <w:tcW w:w="324" w:type="pct"/>
            <w:gridSpan w:val="3"/>
            <w:shd w:val="clear" w:color="auto" w:fill="FFFFFF"/>
          </w:tcPr>
          <w:p w14:paraId="49B12D7D" w14:textId="77777777" w:rsidR="00CE2D18" w:rsidRPr="004E0F02" w:rsidRDefault="00CE2D18" w:rsidP="0001659E">
            <w:pPr>
              <w:spacing w:line="240" w:lineRule="auto"/>
              <w:ind w:left="-95"/>
              <w:rPr>
                <w:sz w:val="16"/>
                <w:szCs w:val="16"/>
              </w:rPr>
            </w:pPr>
            <w:r w:rsidRPr="004E0F02">
              <w:rPr>
                <w:sz w:val="16"/>
                <w:szCs w:val="16"/>
              </w:rPr>
              <w:t>0</w:t>
            </w:r>
          </w:p>
        </w:tc>
        <w:tc>
          <w:tcPr>
            <w:tcW w:w="313" w:type="pct"/>
            <w:gridSpan w:val="2"/>
            <w:shd w:val="clear" w:color="auto" w:fill="FFFFFF"/>
          </w:tcPr>
          <w:p w14:paraId="2D2AFA64" w14:textId="77777777" w:rsidR="00CE2D18" w:rsidRPr="004E0F02" w:rsidRDefault="00CE2D18" w:rsidP="0001659E">
            <w:pPr>
              <w:spacing w:line="240" w:lineRule="auto"/>
              <w:ind w:left="-95"/>
              <w:rPr>
                <w:sz w:val="16"/>
                <w:szCs w:val="16"/>
              </w:rPr>
            </w:pPr>
            <w:r w:rsidRPr="004E0F02">
              <w:rPr>
                <w:sz w:val="16"/>
                <w:szCs w:val="16"/>
              </w:rPr>
              <w:t>0</w:t>
            </w:r>
          </w:p>
        </w:tc>
        <w:tc>
          <w:tcPr>
            <w:tcW w:w="313" w:type="pct"/>
            <w:gridSpan w:val="2"/>
            <w:shd w:val="clear" w:color="auto" w:fill="FFFFFF"/>
          </w:tcPr>
          <w:p w14:paraId="64D489F8" w14:textId="77777777" w:rsidR="00CE2D18" w:rsidRPr="004E0F02" w:rsidRDefault="00CE2D18" w:rsidP="0001659E">
            <w:pPr>
              <w:spacing w:line="240" w:lineRule="auto"/>
              <w:ind w:left="-95"/>
              <w:rPr>
                <w:sz w:val="16"/>
                <w:szCs w:val="16"/>
              </w:rPr>
            </w:pPr>
            <w:r w:rsidRPr="004E0F02">
              <w:rPr>
                <w:sz w:val="16"/>
                <w:szCs w:val="16"/>
              </w:rPr>
              <w:t>0</w:t>
            </w:r>
          </w:p>
        </w:tc>
        <w:tc>
          <w:tcPr>
            <w:tcW w:w="314" w:type="pct"/>
            <w:shd w:val="clear" w:color="auto" w:fill="FFFFFF"/>
          </w:tcPr>
          <w:p w14:paraId="48BDDF69" w14:textId="77777777" w:rsidR="00CE2D18" w:rsidRPr="004E0F02" w:rsidRDefault="00CE2D18" w:rsidP="0001659E">
            <w:pPr>
              <w:spacing w:line="240" w:lineRule="auto"/>
              <w:ind w:left="-95"/>
              <w:rPr>
                <w:sz w:val="16"/>
                <w:szCs w:val="16"/>
              </w:rPr>
            </w:pPr>
            <w:r w:rsidRPr="004E0F02">
              <w:rPr>
                <w:sz w:val="16"/>
                <w:szCs w:val="16"/>
              </w:rPr>
              <w:t>0</w:t>
            </w:r>
          </w:p>
        </w:tc>
        <w:tc>
          <w:tcPr>
            <w:tcW w:w="313" w:type="pct"/>
            <w:shd w:val="clear" w:color="auto" w:fill="FFFFFF"/>
          </w:tcPr>
          <w:p w14:paraId="3730A3B3" w14:textId="77777777" w:rsidR="00CE2D18" w:rsidRPr="004E0F02" w:rsidRDefault="00CE2D18" w:rsidP="0001659E">
            <w:pPr>
              <w:spacing w:line="240" w:lineRule="auto"/>
              <w:ind w:left="-95"/>
              <w:rPr>
                <w:sz w:val="16"/>
                <w:szCs w:val="16"/>
              </w:rPr>
            </w:pPr>
            <w:r w:rsidRPr="004E0F02">
              <w:rPr>
                <w:sz w:val="16"/>
                <w:szCs w:val="16"/>
              </w:rPr>
              <w:t>0</w:t>
            </w:r>
          </w:p>
        </w:tc>
        <w:tc>
          <w:tcPr>
            <w:tcW w:w="301" w:type="pct"/>
            <w:gridSpan w:val="2"/>
            <w:shd w:val="clear" w:color="auto" w:fill="FFFFFF"/>
          </w:tcPr>
          <w:p w14:paraId="6004DAB9" w14:textId="77777777" w:rsidR="00CE2D18" w:rsidRPr="004E0F02" w:rsidRDefault="00CE2D18" w:rsidP="009A0D0F">
            <w:pPr>
              <w:spacing w:line="240" w:lineRule="auto"/>
              <w:rPr>
                <w:sz w:val="16"/>
                <w:szCs w:val="16"/>
              </w:rPr>
            </w:pPr>
            <w:r w:rsidRPr="004E0F02">
              <w:rPr>
                <w:sz w:val="16"/>
                <w:szCs w:val="16"/>
              </w:rPr>
              <w:t>0</w:t>
            </w:r>
          </w:p>
        </w:tc>
      </w:tr>
      <w:tr w:rsidR="00F61E7D" w:rsidRPr="004E0F02" w14:paraId="3C535782" w14:textId="77777777" w:rsidTr="00F61E7D">
        <w:trPr>
          <w:trHeight w:val="351"/>
        </w:trPr>
        <w:tc>
          <w:tcPr>
            <w:tcW w:w="1461" w:type="pct"/>
            <w:gridSpan w:val="4"/>
            <w:shd w:val="clear" w:color="auto" w:fill="FFFFFF"/>
            <w:vAlign w:val="center"/>
          </w:tcPr>
          <w:p w14:paraId="20F9E585" w14:textId="77777777" w:rsidR="00CE2D18" w:rsidRPr="004E0F02" w:rsidRDefault="00CE2D18" w:rsidP="009A0D0F">
            <w:pPr>
              <w:spacing w:line="240" w:lineRule="auto"/>
              <w:rPr>
                <w:sz w:val="21"/>
                <w:szCs w:val="21"/>
              </w:rPr>
            </w:pPr>
            <w:r w:rsidRPr="004E0F02">
              <w:rPr>
                <w:sz w:val="21"/>
                <w:szCs w:val="21"/>
              </w:rPr>
              <w:t>pozostałe jednostki (oddzielnie)</w:t>
            </w:r>
          </w:p>
        </w:tc>
        <w:tc>
          <w:tcPr>
            <w:tcW w:w="304" w:type="pct"/>
            <w:gridSpan w:val="2"/>
            <w:shd w:val="clear" w:color="auto" w:fill="FFFFFF"/>
          </w:tcPr>
          <w:p w14:paraId="2DE6E633"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0E1A05ED"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17620EF2"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27E41615"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742FF7FF" w14:textId="77777777" w:rsidR="00CE2D18" w:rsidRPr="004E0F02" w:rsidRDefault="00CE2D18" w:rsidP="0001659E">
            <w:pPr>
              <w:spacing w:line="240" w:lineRule="auto"/>
              <w:ind w:left="-95"/>
              <w:rPr>
                <w:sz w:val="16"/>
                <w:szCs w:val="16"/>
              </w:rPr>
            </w:pPr>
            <w:r w:rsidRPr="004E0F02">
              <w:rPr>
                <w:sz w:val="16"/>
                <w:szCs w:val="16"/>
              </w:rPr>
              <w:t>0</w:t>
            </w:r>
          </w:p>
        </w:tc>
        <w:tc>
          <w:tcPr>
            <w:tcW w:w="281" w:type="pct"/>
            <w:gridSpan w:val="2"/>
            <w:shd w:val="clear" w:color="auto" w:fill="FFFFFF"/>
          </w:tcPr>
          <w:p w14:paraId="6F49DFB4" w14:textId="77777777" w:rsidR="00CE2D18" w:rsidRPr="004E0F02" w:rsidRDefault="00CE2D18" w:rsidP="0001659E">
            <w:pPr>
              <w:spacing w:line="240" w:lineRule="auto"/>
              <w:ind w:left="-95"/>
              <w:rPr>
                <w:sz w:val="16"/>
                <w:szCs w:val="16"/>
              </w:rPr>
            </w:pPr>
            <w:r w:rsidRPr="004E0F02">
              <w:rPr>
                <w:sz w:val="16"/>
                <w:szCs w:val="16"/>
              </w:rPr>
              <w:t>0</w:t>
            </w:r>
          </w:p>
        </w:tc>
        <w:tc>
          <w:tcPr>
            <w:tcW w:w="324" w:type="pct"/>
            <w:gridSpan w:val="3"/>
            <w:shd w:val="clear" w:color="auto" w:fill="FFFFFF"/>
          </w:tcPr>
          <w:p w14:paraId="0017F627" w14:textId="77777777" w:rsidR="00CE2D18" w:rsidRPr="004E0F02" w:rsidRDefault="00CE2D18" w:rsidP="0001659E">
            <w:pPr>
              <w:spacing w:line="240" w:lineRule="auto"/>
              <w:ind w:left="-95"/>
              <w:rPr>
                <w:sz w:val="16"/>
                <w:szCs w:val="16"/>
              </w:rPr>
            </w:pPr>
            <w:r w:rsidRPr="004E0F02">
              <w:rPr>
                <w:sz w:val="16"/>
                <w:szCs w:val="16"/>
              </w:rPr>
              <w:t>0</w:t>
            </w:r>
          </w:p>
        </w:tc>
        <w:tc>
          <w:tcPr>
            <w:tcW w:w="313" w:type="pct"/>
            <w:gridSpan w:val="2"/>
            <w:shd w:val="clear" w:color="auto" w:fill="FFFFFF"/>
          </w:tcPr>
          <w:p w14:paraId="324AF017" w14:textId="77777777" w:rsidR="00CE2D18" w:rsidRPr="004E0F02" w:rsidRDefault="00CE2D18" w:rsidP="0001659E">
            <w:pPr>
              <w:spacing w:line="240" w:lineRule="auto"/>
              <w:ind w:left="-95"/>
              <w:rPr>
                <w:sz w:val="16"/>
                <w:szCs w:val="16"/>
              </w:rPr>
            </w:pPr>
            <w:r w:rsidRPr="004E0F02">
              <w:rPr>
                <w:sz w:val="16"/>
                <w:szCs w:val="16"/>
              </w:rPr>
              <w:t>0</w:t>
            </w:r>
          </w:p>
        </w:tc>
        <w:tc>
          <w:tcPr>
            <w:tcW w:w="313" w:type="pct"/>
            <w:gridSpan w:val="2"/>
            <w:shd w:val="clear" w:color="auto" w:fill="FFFFFF"/>
          </w:tcPr>
          <w:p w14:paraId="7FE9657D" w14:textId="77777777" w:rsidR="00CE2D18" w:rsidRPr="004E0F02" w:rsidRDefault="00CE2D18" w:rsidP="0001659E">
            <w:pPr>
              <w:spacing w:line="240" w:lineRule="auto"/>
              <w:ind w:left="-95"/>
              <w:rPr>
                <w:sz w:val="16"/>
                <w:szCs w:val="16"/>
              </w:rPr>
            </w:pPr>
            <w:r w:rsidRPr="004E0F02">
              <w:rPr>
                <w:sz w:val="16"/>
                <w:szCs w:val="16"/>
              </w:rPr>
              <w:t>0</w:t>
            </w:r>
          </w:p>
        </w:tc>
        <w:tc>
          <w:tcPr>
            <w:tcW w:w="314" w:type="pct"/>
            <w:shd w:val="clear" w:color="auto" w:fill="FFFFFF"/>
          </w:tcPr>
          <w:p w14:paraId="37E770A9" w14:textId="77777777" w:rsidR="00CE2D18" w:rsidRPr="004E0F02" w:rsidRDefault="00CE2D18" w:rsidP="0001659E">
            <w:pPr>
              <w:spacing w:line="240" w:lineRule="auto"/>
              <w:ind w:left="-95"/>
              <w:rPr>
                <w:sz w:val="16"/>
                <w:szCs w:val="16"/>
              </w:rPr>
            </w:pPr>
            <w:r w:rsidRPr="004E0F02">
              <w:rPr>
                <w:sz w:val="16"/>
                <w:szCs w:val="16"/>
              </w:rPr>
              <w:t>0</w:t>
            </w:r>
          </w:p>
        </w:tc>
        <w:tc>
          <w:tcPr>
            <w:tcW w:w="313" w:type="pct"/>
            <w:shd w:val="clear" w:color="auto" w:fill="FFFFFF"/>
          </w:tcPr>
          <w:p w14:paraId="44D9CDCC" w14:textId="77777777" w:rsidR="00CE2D18" w:rsidRPr="004E0F02" w:rsidRDefault="00CE2D18" w:rsidP="0001659E">
            <w:pPr>
              <w:spacing w:line="240" w:lineRule="auto"/>
              <w:ind w:left="-95"/>
              <w:rPr>
                <w:sz w:val="16"/>
                <w:szCs w:val="16"/>
              </w:rPr>
            </w:pPr>
            <w:r w:rsidRPr="004E0F02">
              <w:rPr>
                <w:sz w:val="16"/>
                <w:szCs w:val="16"/>
              </w:rPr>
              <w:t>0</w:t>
            </w:r>
          </w:p>
        </w:tc>
        <w:tc>
          <w:tcPr>
            <w:tcW w:w="301" w:type="pct"/>
            <w:gridSpan w:val="2"/>
            <w:shd w:val="clear" w:color="auto" w:fill="FFFFFF"/>
          </w:tcPr>
          <w:p w14:paraId="72B8F31B" w14:textId="77777777" w:rsidR="00CE2D18" w:rsidRPr="004E0F02" w:rsidRDefault="00CE2D18" w:rsidP="009A0D0F">
            <w:pPr>
              <w:spacing w:line="240" w:lineRule="auto"/>
              <w:rPr>
                <w:sz w:val="16"/>
                <w:szCs w:val="16"/>
              </w:rPr>
            </w:pPr>
            <w:r w:rsidRPr="004E0F02">
              <w:rPr>
                <w:sz w:val="16"/>
                <w:szCs w:val="16"/>
              </w:rPr>
              <w:t>0</w:t>
            </w:r>
          </w:p>
        </w:tc>
      </w:tr>
      <w:tr w:rsidR="00F61E7D" w:rsidRPr="004E0F02" w14:paraId="32AE67C9" w14:textId="77777777" w:rsidTr="00F61E7D">
        <w:trPr>
          <w:trHeight w:val="360"/>
        </w:trPr>
        <w:tc>
          <w:tcPr>
            <w:tcW w:w="1461" w:type="pct"/>
            <w:gridSpan w:val="4"/>
            <w:shd w:val="clear" w:color="auto" w:fill="FFFFFF"/>
            <w:vAlign w:val="center"/>
          </w:tcPr>
          <w:p w14:paraId="6450E413" w14:textId="77777777" w:rsidR="00CE2D18" w:rsidRPr="004E0F02" w:rsidRDefault="00CE2D18" w:rsidP="009A0D0F">
            <w:pPr>
              <w:spacing w:line="240" w:lineRule="auto"/>
              <w:rPr>
                <w:sz w:val="21"/>
                <w:szCs w:val="21"/>
              </w:rPr>
            </w:pPr>
            <w:r w:rsidRPr="004E0F02">
              <w:rPr>
                <w:b/>
                <w:sz w:val="21"/>
                <w:szCs w:val="21"/>
              </w:rPr>
              <w:t>Saldo ogółem</w:t>
            </w:r>
          </w:p>
        </w:tc>
        <w:tc>
          <w:tcPr>
            <w:tcW w:w="304" w:type="pct"/>
            <w:gridSpan w:val="2"/>
            <w:shd w:val="clear" w:color="auto" w:fill="FFFFFF"/>
          </w:tcPr>
          <w:p w14:paraId="0E4AA28B" w14:textId="38BCA4D7" w:rsidR="00CE2D18" w:rsidRPr="004E0F02" w:rsidRDefault="00AF626C" w:rsidP="00DC72CF">
            <w:pPr>
              <w:spacing w:line="240" w:lineRule="auto"/>
              <w:ind w:left="-93" w:right="-121"/>
              <w:rPr>
                <w:sz w:val="16"/>
                <w:szCs w:val="16"/>
              </w:rPr>
            </w:pPr>
            <w:r w:rsidRPr="004E0F02">
              <w:rPr>
                <w:sz w:val="16"/>
                <w:szCs w:val="16"/>
              </w:rPr>
              <w:softHyphen/>
            </w:r>
            <w:r w:rsidR="00E45B1D" w:rsidRPr="004E0F02">
              <w:rPr>
                <w:sz w:val="16"/>
                <w:szCs w:val="16"/>
              </w:rPr>
              <w:softHyphen/>
            </w:r>
            <w:r w:rsidR="00E45B1D" w:rsidRPr="004E0F02">
              <w:rPr>
                <w:sz w:val="16"/>
                <w:szCs w:val="16"/>
              </w:rPr>
              <w:noBreakHyphen/>
            </w:r>
            <w:r w:rsidR="00DC72CF" w:rsidRPr="004E0F02">
              <w:rPr>
                <w:sz w:val="16"/>
                <w:szCs w:val="16"/>
              </w:rPr>
              <w:t>0,34</w:t>
            </w:r>
          </w:p>
        </w:tc>
        <w:tc>
          <w:tcPr>
            <w:tcW w:w="269" w:type="pct"/>
            <w:gridSpan w:val="2"/>
            <w:shd w:val="clear" w:color="auto" w:fill="FFFFFF"/>
          </w:tcPr>
          <w:p w14:paraId="604A68B7" w14:textId="56613C71"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269" w:type="pct"/>
            <w:gridSpan w:val="2"/>
            <w:shd w:val="clear" w:color="auto" w:fill="FFFFFF"/>
          </w:tcPr>
          <w:p w14:paraId="21A0137E" w14:textId="4126970F"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269" w:type="pct"/>
            <w:gridSpan w:val="2"/>
            <w:shd w:val="clear" w:color="auto" w:fill="FFFFFF"/>
          </w:tcPr>
          <w:p w14:paraId="1518888A" w14:textId="7BEC02B9"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269" w:type="pct"/>
            <w:gridSpan w:val="2"/>
            <w:shd w:val="clear" w:color="auto" w:fill="FFFFFF"/>
          </w:tcPr>
          <w:p w14:paraId="693ADFB6" w14:textId="0B22AC13"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281" w:type="pct"/>
            <w:gridSpan w:val="2"/>
            <w:shd w:val="clear" w:color="auto" w:fill="FFFFFF"/>
          </w:tcPr>
          <w:p w14:paraId="12A53132" w14:textId="68A76F74"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324" w:type="pct"/>
            <w:gridSpan w:val="3"/>
            <w:shd w:val="clear" w:color="auto" w:fill="FFFFFF"/>
          </w:tcPr>
          <w:p w14:paraId="665D0A1A" w14:textId="0DB1C9D4" w:rsidR="00CE2D18" w:rsidRPr="004E0F02" w:rsidRDefault="00AF626C" w:rsidP="0001659E">
            <w:pPr>
              <w:spacing w:line="240" w:lineRule="auto"/>
              <w:ind w:left="-95" w:right="-118"/>
              <w:rPr>
                <w:sz w:val="16"/>
                <w:szCs w:val="16"/>
              </w:rPr>
            </w:pPr>
            <w:r w:rsidRPr="004E0F02">
              <w:rPr>
                <w:sz w:val="16"/>
                <w:szCs w:val="16"/>
              </w:rPr>
              <w:softHyphen/>
            </w:r>
            <w:r w:rsidR="00E45B1D" w:rsidRPr="004E0F02">
              <w:rPr>
                <w:sz w:val="16"/>
                <w:szCs w:val="16"/>
              </w:rPr>
              <w:softHyphen/>
            </w:r>
            <w:r w:rsidR="00E45B1D" w:rsidRPr="004E0F02">
              <w:rPr>
                <w:sz w:val="16"/>
                <w:szCs w:val="16"/>
              </w:rPr>
              <w:noBreakHyphen/>
            </w:r>
            <w:r w:rsidR="00CE2D18" w:rsidRPr="004E0F02">
              <w:rPr>
                <w:sz w:val="16"/>
                <w:szCs w:val="16"/>
              </w:rPr>
              <w:t>0,625</w:t>
            </w:r>
          </w:p>
        </w:tc>
        <w:tc>
          <w:tcPr>
            <w:tcW w:w="313" w:type="pct"/>
            <w:gridSpan w:val="2"/>
            <w:shd w:val="clear" w:color="auto" w:fill="FFFFFF"/>
          </w:tcPr>
          <w:p w14:paraId="1A597777" w14:textId="102C78C1" w:rsidR="00CE2D18" w:rsidRPr="004E0F02" w:rsidRDefault="00AF626C" w:rsidP="0001659E">
            <w:pPr>
              <w:spacing w:line="240" w:lineRule="auto"/>
              <w:ind w:left="-95" w:right="-118"/>
              <w:rPr>
                <w:sz w:val="16"/>
                <w:szCs w:val="16"/>
              </w:rPr>
            </w:pPr>
            <w:r w:rsidRPr="004E0F02">
              <w:rPr>
                <w:sz w:val="16"/>
                <w:szCs w:val="16"/>
              </w:rPr>
              <w:softHyphen/>
            </w:r>
            <w:r w:rsidR="00E45B1D" w:rsidRPr="004E0F02">
              <w:rPr>
                <w:sz w:val="16"/>
                <w:szCs w:val="16"/>
              </w:rPr>
              <w:softHyphen/>
            </w:r>
            <w:r w:rsidR="00E45B1D" w:rsidRPr="004E0F02">
              <w:rPr>
                <w:sz w:val="16"/>
                <w:szCs w:val="16"/>
              </w:rPr>
              <w:noBreakHyphen/>
            </w:r>
            <w:r w:rsidR="00CE2D18" w:rsidRPr="004E0F02">
              <w:rPr>
                <w:sz w:val="16"/>
                <w:szCs w:val="16"/>
              </w:rPr>
              <w:t>0,625</w:t>
            </w:r>
          </w:p>
        </w:tc>
        <w:tc>
          <w:tcPr>
            <w:tcW w:w="313" w:type="pct"/>
            <w:gridSpan w:val="2"/>
            <w:shd w:val="clear" w:color="auto" w:fill="FFFFFF"/>
          </w:tcPr>
          <w:p w14:paraId="7548D8E8" w14:textId="385856C4"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314" w:type="pct"/>
            <w:shd w:val="clear" w:color="auto" w:fill="FFFFFF"/>
          </w:tcPr>
          <w:p w14:paraId="06B643D5" w14:textId="5D2D6D3C"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313" w:type="pct"/>
            <w:shd w:val="clear" w:color="auto" w:fill="FFFFFF"/>
          </w:tcPr>
          <w:p w14:paraId="1954E61F" w14:textId="37DF4F55"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301" w:type="pct"/>
            <w:gridSpan w:val="2"/>
            <w:shd w:val="clear" w:color="auto" w:fill="FFFFFF"/>
          </w:tcPr>
          <w:p w14:paraId="690CFF63" w14:textId="6B183842" w:rsidR="00CE2D18" w:rsidRPr="004E0F02" w:rsidRDefault="00E45B1D" w:rsidP="003F719B">
            <w:pPr>
              <w:spacing w:line="240" w:lineRule="auto"/>
              <w:ind w:left="-75"/>
              <w:rPr>
                <w:sz w:val="16"/>
                <w:szCs w:val="16"/>
              </w:rPr>
            </w:pPr>
            <w:r w:rsidRPr="004E0F02">
              <w:rPr>
                <w:sz w:val="16"/>
                <w:szCs w:val="16"/>
              </w:rPr>
              <w:softHyphen/>
            </w:r>
            <w:r w:rsidRPr="004E0F02">
              <w:rPr>
                <w:sz w:val="16"/>
                <w:szCs w:val="16"/>
              </w:rPr>
              <w:noBreakHyphen/>
            </w:r>
            <w:r w:rsidR="00DC72CF" w:rsidRPr="004E0F02">
              <w:rPr>
                <w:sz w:val="16"/>
                <w:szCs w:val="16"/>
              </w:rPr>
              <w:t>6,59</w:t>
            </w:r>
          </w:p>
        </w:tc>
      </w:tr>
      <w:tr w:rsidR="00F61E7D" w:rsidRPr="004E0F02" w14:paraId="366EDEEB" w14:textId="77777777" w:rsidTr="00F61E7D">
        <w:trPr>
          <w:trHeight w:val="360"/>
        </w:trPr>
        <w:tc>
          <w:tcPr>
            <w:tcW w:w="1461" w:type="pct"/>
            <w:gridSpan w:val="4"/>
            <w:shd w:val="clear" w:color="auto" w:fill="FFFFFF"/>
            <w:vAlign w:val="center"/>
          </w:tcPr>
          <w:p w14:paraId="67D0564B" w14:textId="77777777" w:rsidR="00CE2D18" w:rsidRPr="004E0F02" w:rsidRDefault="00CE2D18" w:rsidP="009A0D0F">
            <w:pPr>
              <w:spacing w:line="240" w:lineRule="auto"/>
              <w:rPr>
                <w:sz w:val="21"/>
                <w:szCs w:val="21"/>
              </w:rPr>
            </w:pPr>
            <w:r w:rsidRPr="004E0F02">
              <w:rPr>
                <w:sz w:val="21"/>
                <w:szCs w:val="21"/>
              </w:rPr>
              <w:t>budżet państwa</w:t>
            </w:r>
          </w:p>
        </w:tc>
        <w:tc>
          <w:tcPr>
            <w:tcW w:w="304" w:type="pct"/>
            <w:gridSpan w:val="2"/>
            <w:shd w:val="clear" w:color="auto" w:fill="FFFFFF"/>
          </w:tcPr>
          <w:p w14:paraId="3E8B7801" w14:textId="1331B528" w:rsidR="00CE2D18" w:rsidRPr="004E0F02" w:rsidRDefault="00AF626C" w:rsidP="00DC72CF">
            <w:pPr>
              <w:spacing w:line="240" w:lineRule="auto"/>
              <w:ind w:left="-93" w:right="-121"/>
              <w:rPr>
                <w:sz w:val="16"/>
                <w:szCs w:val="16"/>
              </w:rPr>
            </w:pPr>
            <w:r w:rsidRPr="004E0F02">
              <w:rPr>
                <w:sz w:val="16"/>
                <w:szCs w:val="16"/>
              </w:rPr>
              <w:softHyphen/>
            </w:r>
            <w:r w:rsidR="00E45B1D" w:rsidRPr="004E0F02">
              <w:rPr>
                <w:sz w:val="16"/>
                <w:szCs w:val="16"/>
              </w:rPr>
              <w:softHyphen/>
            </w:r>
            <w:r w:rsidR="00E45B1D" w:rsidRPr="004E0F02">
              <w:rPr>
                <w:sz w:val="16"/>
                <w:szCs w:val="16"/>
              </w:rPr>
              <w:noBreakHyphen/>
            </w:r>
            <w:r w:rsidR="00DC72CF" w:rsidRPr="004E0F02">
              <w:rPr>
                <w:sz w:val="16"/>
                <w:szCs w:val="16"/>
              </w:rPr>
              <w:t>0,34</w:t>
            </w:r>
          </w:p>
        </w:tc>
        <w:tc>
          <w:tcPr>
            <w:tcW w:w="269" w:type="pct"/>
            <w:gridSpan w:val="2"/>
            <w:shd w:val="clear" w:color="auto" w:fill="FFFFFF"/>
          </w:tcPr>
          <w:p w14:paraId="07878267" w14:textId="0886F2E9"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269" w:type="pct"/>
            <w:gridSpan w:val="2"/>
            <w:shd w:val="clear" w:color="auto" w:fill="FFFFFF"/>
          </w:tcPr>
          <w:p w14:paraId="74A25A32" w14:textId="6B4DB781"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269" w:type="pct"/>
            <w:gridSpan w:val="2"/>
            <w:shd w:val="clear" w:color="auto" w:fill="FFFFFF"/>
          </w:tcPr>
          <w:p w14:paraId="136B1386" w14:textId="681695C1"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269" w:type="pct"/>
            <w:gridSpan w:val="2"/>
            <w:shd w:val="clear" w:color="auto" w:fill="FFFFFF"/>
          </w:tcPr>
          <w:p w14:paraId="0DD8A9C4" w14:textId="3ED07F5F"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281" w:type="pct"/>
            <w:gridSpan w:val="2"/>
            <w:shd w:val="clear" w:color="auto" w:fill="FFFFFF"/>
          </w:tcPr>
          <w:p w14:paraId="4BF56C84" w14:textId="793068ED"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324" w:type="pct"/>
            <w:gridSpan w:val="3"/>
            <w:shd w:val="clear" w:color="auto" w:fill="FFFFFF"/>
          </w:tcPr>
          <w:p w14:paraId="2150D328" w14:textId="28D831CA" w:rsidR="00CE2D18" w:rsidRPr="004E0F02" w:rsidRDefault="00AF626C" w:rsidP="0001659E">
            <w:pPr>
              <w:spacing w:line="240" w:lineRule="auto"/>
              <w:ind w:left="-95" w:right="-118"/>
              <w:rPr>
                <w:sz w:val="16"/>
                <w:szCs w:val="16"/>
              </w:rPr>
            </w:pPr>
            <w:r w:rsidRPr="004E0F02">
              <w:rPr>
                <w:sz w:val="16"/>
                <w:szCs w:val="16"/>
              </w:rPr>
              <w:softHyphen/>
            </w:r>
            <w:r w:rsidR="00E45B1D" w:rsidRPr="004E0F02">
              <w:rPr>
                <w:sz w:val="16"/>
                <w:szCs w:val="16"/>
              </w:rPr>
              <w:softHyphen/>
            </w:r>
            <w:r w:rsidR="00E45B1D" w:rsidRPr="004E0F02">
              <w:rPr>
                <w:sz w:val="16"/>
                <w:szCs w:val="16"/>
              </w:rPr>
              <w:noBreakHyphen/>
            </w:r>
            <w:r w:rsidR="00CE2D18" w:rsidRPr="004E0F02">
              <w:rPr>
                <w:sz w:val="16"/>
                <w:szCs w:val="16"/>
              </w:rPr>
              <w:t>0,625</w:t>
            </w:r>
          </w:p>
        </w:tc>
        <w:tc>
          <w:tcPr>
            <w:tcW w:w="313" w:type="pct"/>
            <w:gridSpan w:val="2"/>
            <w:shd w:val="clear" w:color="auto" w:fill="FFFFFF"/>
          </w:tcPr>
          <w:p w14:paraId="34C158C9" w14:textId="1CF1BC22" w:rsidR="00CE2D18" w:rsidRPr="004E0F02" w:rsidRDefault="00AF626C" w:rsidP="0001659E">
            <w:pPr>
              <w:spacing w:line="240" w:lineRule="auto"/>
              <w:ind w:left="-95" w:right="-118"/>
              <w:rPr>
                <w:sz w:val="16"/>
                <w:szCs w:val="16"/>
              </w:rPr>
            </w:pPr>
            <w:r w:rsidRPr="004E0F02">
              <w:rPr>
                <w:sz w:val="16"/>
                <w:szCs w:val="16"/>
              </w:rPr>
              <w:softHyphen/>
            </w:r>
            <w:r w:rsidR="00E45B1D" w:rsidRPr="004E0F02">
              <w:rPr>
                <w:sz w:val="16"/>
                <w:szCs w:val="16"/>
              </w:rPr>
              <w:softHyphen/>
            </w:r>
            <w:r w:rsidR="00E45B1D" w:rsidRPr="004E0F02">
              <w:rPr>
                <w:sz w:val="16"/>
                <w:szCs w:val="16"/>
              </w:rPr>
              <w:noBreakHyphen/>
            </w:r>
            <w:r w:rsidR="00CE2D18" w:rsidRPr="004E0F02">
              <w:rPr>
                <w:sz w:val="16"/>
                <w:szCs w:val="16"/>
              </w:rPr>
              <w:t>0,625</w:t>
            </w:r>
          </w:p>
        </w:tc>
        <w:tc>
          <w:tcPr>
            <w:tcW w:w="313" w:type="pct"/>
            <w:gridSpan w:val="2"/>
            <w:shd w:val="clear" w:color="auto" w:fill="FFFFFF"/>
          </w:tcPr>
          <w:p w14:paraId="7877D3C9" w14:textId="0AF64AD6"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314" w:type="pct"/>
            <w:shd w:val="clear" w:color="auto" w:fill="FFFFFF"/>
          </w:tcPr>
          <w:p w14:paraId="2804ABC6" w14:textId="474AF8FD"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313" w:type="pct"/>
            <w:shd w:val="clear" w:color="auto" w:fill="FFFFFF"/>
          </w:tcPr>
          <w:p w14:paraId="563E982E" w14:textId="615D0C7D" w:rsidR="00CE2D18" w:rsidRPr="004E0F02" w:rsidRDefault="00E45B1D" w:rsidP="0001659E">
            <w:pPr>
              <w:spacing w:line="240" w:lineRule="auto"/>
              <w:ind w:left="-95" w:right="-118"/>
              <w:rPr>
                <w:sz w:val="16"/>
                <w:szCs w:val="16"/>
              </w:rPr>
            </w:pPr>
            <w:r w:rsidRPr="004E0F02">
              <w:rPr>
                <w:sz w:val="16"/>
                <w:szCs w:val="16"/>
              </w:rPr>
              <w:softHyphen/>
            </w:r>
            <w:r w:rsidRPr="004E0F02">
              <w:rPr>
                <w:sz w:val="16"/>
                <w:szCs w:val="16"/>
              </w:rPr>
              <w:noBreakHyphen/>
            </w:r>
            <w:r w:rsidR="00CE2D18" w:rsidRPr="004E0F02">
              <w:rPr>
                <w:sz w:val="16"/>
                <w:szCs w:val="16"/>
              </w:rPr>
              <w:t>0,625</w:t>
            </w:r>
          </w:p>
        </w:tc>
        <w:tc>
          <w:tcPr>
            <w:tcW w:w="301" w:type="pct"/>
            <w:gridSpan w:val="2"/>
            <w:shd w:val="clear" w:color="auto" w:fill="FFFFFF"/>
          </w:tcPr>
          <w:p w14:paraId="3A6100F7" w14:textId="418048EB" w:rsidR="00CE2D18" w:rsidRPr="004E0F02" w:rsidRDefault="00E45B1D" w:rsidP="003F719B">
            <w:pPr>
              <w:spacing w:line="240" w:lineRule="auto"/>
              <w:ind w:left="-75"/>
              <w:rPr>
                <w:sz w:val="16"/>
                <w:szCs w:val="16"/>
              </w:rPr>
            </w:pPr>
            <w:r w:rsidRPr="004E0F02">
              <w:rPr>
                <w:sz w:val="16"/>
                <w:szCs w:val="16"/>
              </w:rPr>
              <w:softHyphen/>
            </w:r>
            <w:r w:rsidRPr="004E0F02">
              <w:rPr>
                <w:sz w:val="16"/>
                <w:szCs w:val="16"/>
              </w:rPr>
              <w:noBreakHyphen/>
            </w:r>
            <w:r w:rsidR="00740529" w:rsidRPr="004E0F02">
              <w:rPr>
                <w:sz w:val="16"/>
                <w:szCs w:val="16"/>
              </w:rPr>
              <w:t>6,59</w:t>
            </w:r>
          </w:p>
        </w:tc>
      </w:tr>
      <w:tr w:rsidR="00F61E7D" w:rsidRPr="004E0F02" w14:paraId="4B727287" w14:textId="77777777" w:rsidTr="00F61E7D">
        <w:trPr>
          <w:trHeight w:val="357"/>
        </w:trPr>
        <w:tc>
          <w:tcPr>
            <w:tcW w:w="1461" w:type="pct"/>
            <w:gridSpan w:val="4"/>
            <w:shd w:val="clear" w:color="auto" w:fill="FFFFFF"/>
            <w:vAlign w:val="center"/>
          </w:tcPr>
          <w:p w14:paraId="566AB962" w14:textId="77777777" w:rsidR="00CE2D18" w:rsidRPr="004E0F02" w:rsidRDefault="00CE2D18" w:rsidP="009A0D0F">
            <w:pPr>
              <w:spacing w:line="240" w:lineRule="auto"/>
              <w:rPr>
                <w:sz w:val="21"/>
                <w:szCs w:val="21"/>
              </w:rPr>
            </w:pPr>
            <w:r w:rsidRPr="004E0F02">
              <w:rPr>
                <w:sz w:val="21"/>
                <w:szCs w:val="21"/>
              </w:rPr>
              <w:lastRenderedPageBreak/>
              <w:t>JST</w:t>
            </w:r>
          </w:p>
        </w:tc>
        <w:tc>
          <w:tcPr>
            <w:tcW w:w="304" w:type="pct"/>
            <w:gridSpan w:val="2"/>
            <w:shd w:val="clear" w:color="auto" w:fill="FFFFFF"/>
          </w:tcPr>
          <w:p w14:paraId="5756C08A"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3625431A"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4E8C1589"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6F23017B"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2CFCCE49" w14:textId="77777777" w:rsidR="00CE2D18" w:rsidRPr="004E0F02" w:rsidRDefault="00CE2D18" w:rsidP="0001659E">
            <w:pPr>
              <w:spacing w:line="240" w:lineRule="auto"/>
              <w:ind w:left="-95"/>
              <w:rPr>
                <w:sz w:val="16"/>
                <w:szCs w:val="16"/>
              </w:rPr>
            </w:pPr>
            <w:r w:rsidRPr="004E0F02">
              <w:rPr>
                <w:sz w:val="16"/>
                <w:szCs w:val="16"/>
              </w:rPr>
              <w:t>0</w:t>
            </w:r>
          </w:p>
        </w:tc>
        <w:tc>
          <w:tcPr>
            <w:tcW w:w="281" w:type="pct"/>
            <w:gridSpan w:val="2"/>
            <w:shd w:val="clear" w:color="auto" w:fill="FFFFFF"/>
          </w:tcPr>
          <w:p w14:paraId="79829112" w14:textId="77777777" w:rsidR="00CE2D18" w:rsidRPr="004E0F02" w:rsidRDefault="00CE2D18" w:rsidP="0001659E">
            <w:pPr>
              <w:spacing w:line="240" w:lineRule="auto"/>
              <w:ind w:left="-95"/>
              <w:rPr>
                <w:sz w:val="16"/>
                <w:szCs w:val="16"/>
              </w:rPr>
            </w:pPr>
            <w:r w:rsidRPr="004E0F02">
              <w:rPr>
                <w:sz w:val="16"/>
                <w:szCs w:val="16"/>
              </w:rPr>
              <w:t>0</w:t>
            </w:r>
          </w:p>
        </w:tc>
        <w:tc>
          <w:tcPr>
            <w:tcW w:w="324" w:type="pct"/>
            <w:gridSpan w:val="3"/>
            <w:shd w:val="clear" w:color="auto" w:fill="FFFFFF"/>
          </w:tcPr>
          <w:p w14:paraId="2104557A" w14:textId="77777777" w:rsidR="00CE2D18" w:rsidRPr="004E0F02" w:rsidRDefault="00CE2D18" w:rsidP="0001659E">
            <w:pPr>
              <w:spacing w:line="240" w:lineRule="auto"/>
              <w:ind w:left="-95"/>
              <w:rPr>
                <w:sz w:val="16"/>
                <w:szCs w:val="16"/>
              </w:rPr>
            </w:pPr>
            <w:r w:rsidRPr="004E0F02">
              <w:rPr>
                <w:sz w:val="16"/>
                <w:szCs w:val="16"/>
              </w:rPr>
              <w:t>0</w:t>
            </w:r>
          </w:p>
        </w:tc>
        <w:tc>
          <w:tcPr>
            <w:tcW w:w="313" w:type="pct"/>
            <w:gridSpan w:val="2"/>
            <w:shd w:val="clear" w:color="auto" w:fill="FFFFFF"/>
          </w:tcPr>
          <w:p w14:paraId="3E4FFF90" w14:textId="77777777" w:rsidR="00CE2D18" w:rsidRPr="004E0F02" w:rsidRDefault="00CE2D18" w:rsidP="0001659E">
            <w:pPr>
              <w:spacing w:line="240" w:lineRule="auto"/>
              <w:ind w:left="-95"/>
              <w:rPr>
                <w:sz w:val="16"/>
                <w:szCs w:val="16"/>
              </w:rPr>
            </w:pPr>
            <w:r w:rsidRPr="004E0F02">
              <w:rPr>
                <w:sz w:val="16"/>
                <w:szCs w:val="16"/>
              </w:rPr>
              <w:t>0</w:t>
            </w:r>
          </w:p>
        </w:tc>
        <w:tc>
          <w:tcPr>
            <w:tcW w:w="313" w:type="pct"/>
            <w:gridSpan w:val="2"/>
            <w:shd w:val="clear" w:color="auto" w:fill="FFFFFF"/>
          </w:tcPr>
          <w:p w14:paraId="1E0C13C7" w14:textId="77777777" w:rsidR="00CE2D18" w:rsidRPr="004E0F02" w:rsidRDefault="00CE2D18" w:rsidP="0001659E">
            <w:pPr>
              <w:spacing w:line="240" w:lineRule="auto"/>
              <w:ind w:left="-95"/>
              <w:rPr>
                <w:sz w:val="16"/>
                <w:szCs w:val="16"/>
              </w:rPr>
            </w:pPr>
            <w:r w:rsidRPr="004E0F02">
              <w:rPr>
                <w:sz w:val="16"/>
                <w:szCs w:val="16"/>
              </w:rPr>
              <w:t>0</w:t>
            </w:r>
          </w:p>
        </w:tc>
        <w:tc>
          <w:tcPr>
            <w:tcW w:w="314" w:type="pct"/>
            <w:shd w:val="clear" w:color="auto" w:fill="FFFFFF"/>
          </w:tcPr>
          <w:p w14:paraId="505F7250" w14:textId="77777777" w:rsidR="00CE2D18" w:rsidRPr="004E0F02" w:rsidRDefault="00CE2D18" w:rsidP="0001659E">
            <w:pPr>
              <w:spacing w:line="240" w:lineRule="auto"/>
              <w:ind w:left="-95"/>
              <w:rPr>
                <w:sz w:val="16"/>
                <w:szCs w:val="16"/>
              </w:rPr>
            </w:pPr>
            <w:r w:rsidRPr="004E0F02">
              <w:rPr>
                <w:sz w:val="16"/>
                <w:szCs w:val="16"/>
              </w:rPr>
              <w:t>0</w:t>
            </w:r>
          </w:p>
        </w:tc>
        <w:tc>
          <w:tcPr>
            <w:tcW w:w="313" w:type="pct"/>
            <w:shd w:val="clear" w:color="auto" w:fill="FFFFFF"/>
          </w:tcPr>
          <w:p w14:paraId="78B149AA" w14:textId="77777777" w:rsidR="00CE2D18" w:rsidRPr="004E0F02" w:rsidRDefault="00CE2D18" w:rsidP="0001659E">
            <w:pPr>
              <w:spacing w:line="240" w:lineRule="auto"/>
              <w:ind w:left="-95"/>
              <w:rPr>
                <w:sz w:val="16"/>
                <w:szCs w:val="16"/>
              </w:rPr>
            </w:pPr>
            <w:r w:rsidRPr="004E0F02">
              <w:rPr>
                <w:sz w:val="16"/>
                <w:szCs w:val="16"/>
              </w:rPr>
              <w:t>0</w:t>
            </w:r>
          </w:p>
        </w:tc>
        <w:tc>
          <w:tcPr>
            <w:tcW w:w="301" w:type="pct"/>
            <w:gridSpan w:val="2"/>
            <w:shd w:val="clear" w:color="auto" w:fill="FFFFFF"/>
          </w:tcPr>
          <w:p w14:paraId="44640075" w14:textId="77777777" w:rsidR="00CE2D18" w:rsidRPr="004E0F02" w:rsidRDefault="00CE2D18" w:rsidP="009A0D0F">
            <w:pPr>
              <w:spacing w:line="240" w:lineRule="auto"/>
              <w:rPr>
                <w:sz w:val="16"/>
                <w:szCs w:val="16"/>
              </w:rPr>
            </w:pPr>
            <w:r w:rsidRPr="004E0F02">
              <w:rPr>
                <w:sz w:val="16"/>
                <w:szCs w:val="16"/>
              </w:rPr>
              <w:t>0</w:t>
            </w:r>
          </w:p>
        </w:tc>
      </w:tr>
      <w:tr w:rsidR="00F61E7D" w:rsidRPr="004E0F02" w14:paraId="62C1F391" w14:textId="77777777" w:rsidTr="00F61E7D">
        <w:trPr>
          <w:trHeight w:val="357"/>
        </w:trPr>
        <w:tc>
          <w:tcPr>
            <w:tcW w:w="1461" w:type="pct"/>
            <w:gridSpan w:val="4"/>
            <w:shd w:val="clear" w:color="auto" w:fill="FFFFFF"/>
            <w:vAlign w:val="center"/>
          </w:tcPr>
          <w:p w14:paraId="00A07FB6" w14:textId="77777777" w:rsidR="00CE2D18" w:rsidRPr="004E0F02" w:rsidRDefault="00CE2D18" w:rsidP="009A0D0F">
            <w:pPr>
              <w:spacing w:line="240" w:lineRule="auto"/>
              <w:rPr>
                <w:sz w:val="21"/>
                <w:szCs w:val="21"/>
              </w:rPr>
            </w:pPr>
            <w:r w:rsidRPr="004E0F02">
              <w:rPr>
                <w:sz w:val="21"/>
                <w:szCs w:val="21"/>
              </w:rPr>
              <w:t>pozostałe jednostki (oddzielnie)</w:t>
            </w:r>
          </w:p>
        </w:tc>
        <w:tc>
          <w:tcPr>
            <w:tcW w:w="304" w:type="pct"/>
            <w:gridSpan w:val="2"/>
            <w:shd w:val="clear" w:color="auto" w:fill="FFFFFF"/>
          </w:tcPr>
          <w:p w14:paraId="2850145A" w14:textId="77777777" w:rsidR="00CE2D18" w:rsidRPr="004E0F02" w:rsidRDefault="00CE2D18" w:rsidP="009A0D0F">
            <w:pPr>
              <w:spacing w:line="240" w:lineRule="auto"/>
              <w:rPr>
                <w:sz w:val="16"/>
                <w:szCs w:val="16"/>
              </w:rPr>
            </w:pPr>
            <w:r w:rsidRPr="004E0F02">
              <w:rPr>
                <w:sz w:val="16"/>
                <w:szCs w:val="16"/>
              </w:rPr>
              <w:t>0</w:t>
            </w:r>
          </w:p>
        </w:tc>
        <w:tc>
          <w:tcPr>
            <w:tcW w:w="269" w:type="pct"/>
            <w:gridSpan w:val="2"/>
            <w:shd w:val="clear" w:color="auto" w:fill="FFFFFF"/>
          </w:tcPr>
          <w:p w14:paraId="2329931F"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0CFDC3C0"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7E4B5069" w14:textId="77777777" w:rsidR="00CE2D18" w:rsidRPr="004E0F02" w:rsidRDefault="00CE2D18" w:rsidP="0001659E">
            <w:pPr>
              <w:spacing w:line="240" w:lineRule="auto"/>
              <w:ind w:left="-95"/>
              <w:rPr>
                <w:sz w:val="16"/>
                <w:szCs w:val="16"/>
              </w:rPr>
            </w:pPr>
            <w:r w:rsidRPr="004E0F02">
              <w:rPr>
                <w:sz w:val="16"/>
                <w:szCs w:val="16"/>
              </w:rPr>
              <w:t>0</w:t>
            </w:r>
          </w:p>
        </w:tc>
        <w:tc>
          <w:tcPr>
            <w:tcW w:w="269" w:type="pct"/>
            <w:gridSpan w:val="2"/>
            <w:shd w:val="clear" w:color="auto" w:fill="FFFFFF"/>
          </w:tcPr>
          <w:p w14:paraId="2A58C26C" w14:textId="77777777" w:rsidR="00CE2D18" w:rsidRPr="004E0F02" w:rsidRDefault="00CE2D18" w:rsidP="0001659E">
            <w:pPr>
              <w:spacing w:line="240" w:lineRule="auto"/>
              <w:ind w:left="-95"/>
              <w:rPr>
                <w:sz w:val="16"/>
                <w:szCs w:val="16"/>
              </w:rPr>
            </w:pPr>
            <w:r w:rsidRPr="004E0F02">
              <w:rPr>
                <w:sz w:val="16"/>
                <w:szCs w:val="16"/>
              </w:rPr>
              <w:t>0</w:t>
            </w:r>
          </w:p>
        </w:tc>
        <w:tc>
          <w:tcPr>
            <w:tcW w:w="281" w:type="pct"/>
            <w:gridSpan w:val="2"/>
            <w:shd w:val="clear" w:color="auto" w:fill="FFFFFF"/>
          </w:tcPr>
          <w:p w14:paraId="2A276541" w14:textId="77777777" w:rsidR="00CE2D18" w:rsidRPr="004E0F02" w:rsidRDefault="00CE2D18" w:rsidP="0001659E">
            <w:pPr>
              <w:spacing w:line="240" w:lineRule="auto"/>
              <w:ind w:left="-95"/>
              <w:rPr>
                <w:sz w:val="16"/>
                <w:szCs w:val="16"/>
              </w:rPr>
            </w:pPr>
            <w:r w:rsidRPr="004E0F02">
              <w:rPr>
                <w:sz w:val="16"/>
                <w:szCs w:val="16"/>
              </w:rPr>
              <w:t>0</w:t>
            </w:r>
          </w:p>
        </w:tc>
        <w:tc>
          <w:tcPr>
            <w:tcW w:w="324" w:type="pct"/>
            <w:gridSpan w:val="3"/>
            <w:shd w:val="clear" w:color="auto" w:fill="FFFFFF"/>
          </w:tcPr>
          <w:p w14:paraId="4464350C" w14:textId="77777777" w:rsidR="00CE2D18" w:rsidRPr="004E0F02" w:rsidRDefault="00CE2D18" w:rsidP="0001659E">
            <w:pPr>
              <w:spacing w:line="240" w:lineRule="auto"/>
              <w:ind w:left="-95"/>
              <w:rPr>
                <w:sz w:val="16"/>
                <w:szCs w:val="16"/>
              </w:rPr>
            </w:pPr>
            <w:r w:rsidRPr="004E0F02">
              <w:rPr>
                <w:sz w:val="16"/>
                <w:szCs w:val="16"/>
              </w:rPr>
              <w:t>0</w:t>
            </w:r>
          </w:p>
        </w:tc>
        <w:tc>
          <w:tcPr>
            <w:tcW w:w="313" w:type="pct"/>
            <w:gridSpan w:val="2"/>
            <w:shd w:val="clear" w:color="auto" w:fill="FFFFFF"/>
          </w:tcPr>
          <w:p w14:paraId="5353DD4F" w14:textId="77777777" w:rsidR="00CE2D18" w:rsidRPr="004E0F02" w:rsidRDefault="00CE2D18" w:rsidP="0001659E">
            <w:pPr>
              <w:spacing w:line="240" w:lineRule="auto"/>
              <w:ind w:left="-95"/>
              <w:rPr>
                <w:sz w:val="16"/>
                <w:szCs w:val="16"/>
              </w:rPr>
            </w:pPr>
            <w:r w:rsidRPr="004E0F02">
              <w:rPr>
                <w:sz w:val="16"/>
                <w:szCs w:val="16"/>
              </w:rPr>
              <w:t>0</w:t>
            </w:r>
          </w:p>
        </w:tc>
        <w:tc>
          <w:tcPr>
            <w:tcW w:w="313" w:type="pct"/>
            <w:gridSpan w:val="2"/>
            <w:shd w:val="clear" w:color="auto" w:fill="FFFFFF"/>
          </w:tcPr>
          <w:p w14:paraId="535DF245" w14:textId="77777777" w:rsidR="00CE2D18" w:rsidRPr="004E0F02" w:rsidRDefault="00CE2D18" w:rsidP="0001659E">
            <w:pPr>
              <w:spacing w:line="240" w:lineRule="auto"/>
              <w:ind w:left="-95"/>
              <w:rPr>
                <w:sz w:val="16"/>
                <w:szCs w:val="16"/>
              </w:rPr>
            </w:pPr>
            <w:r w:rsidRPr="004E0F02">
              <w:rPr>
                <w:sz w:val="16"/>
                <w:szCs w:val="16"/>
              </w:rPr>
              <w:t>0</w:t>
            </w:r>
          </w:p>
        </w:tc>
        <w:tc>
          <w:tcPr>
            <w:tcW w:w="314" w:type="pct"/>
            <w:shd w:val="clear" w:color="auto" w:fill="FFFFFF"/>
          </w:tcPr>
          <w:p w14:paraId="56242159" w14:textId="77777777" w:rsidR="00CE2D18" w:rsidRPr="004E0F02" w:rsidRDefault="00CE2D18" w:rsidP="0001659E">
            <w:pPr>
              <w:spacing w:line="240" w:lineRule="auto"/>
              <w:ind w:left="-95"/>
              <w:rPr>
                <w:sz w:val="16"/>
                <w:szCs w:val="16"/>
              </w:rPr>
            </w:pPr>
            <w:r w:rsidRPr="004E0F02">
              <w:rPr>
                <w:sz w:val="16"/>
                <w:szCs w:val="16"/>
              </w:rPr>
              <w:t>0</w:t>
            </w:r>
          </w:p>
        </w:tc>
        <w:tc>
          <w:tcPr>
            <w:tcW w:w="313" w:type="pct"/>
            <w:shd w:val="clear" w:color="auto" w:fill="FFFFFF"/>
          </w:tcPr>
          <w:p w14:paraId="43203CD5" w14:textId="77777777" w:rsidR="00CE2D18" w:rsidRPr="004E0F02" w:rsidRDefault="00CE2D18" w:rsidP="0001659E">
            <w:pPr>
              <w:spacing w:line="240" w:lineRule="auto"/>
              <w:ind w:left="-95"/>
              <w:rPr>
                <w:sz w:val="16"/>
                <w:szCs w:val="16"/>
              </w:rPr>
            </w:pPr>
            <w:r w:rsidRPr="004E0F02">
              <w:rPr>
                <w:sz w:val="16"/>
                <w:szCs w:val="16"/>
              </w:rPr>
              <w:t>0</w:t>
            </w:r>
          </w:p>
        </w:tc>
        <w:tc>
          <w:tcPr>
            <w:tcW w:w="301" w:type="pct"/>
            <w:gridSpan w:val="2"/>
            <w:shd w:val="clear" w:color="auto" w:fill="FFFFFF"/>
          </w:tcPr>
          <w:p w14:paraId="46CA87A1" w14:textId="77777777" w:rsidR="00CE2D18" w:rsidRPr="004E0F02" w:rsidRDefault="00CE2D18" w:rsidP="009A0D0F">
            <w:pPr>
              <w:spacing w:line="240" w:lineRule="auto"/>
              <w:rPr>
                <w:sz w:val="16"/>
                <w:szCs w:val="16"/>
              </w:rPr>
            </w:pPr>
            <w:r w:rsidRPr="004E0F02">
              <w:rPr>
                <w:sz w:val="16"/>
                <w:szCs w:val="16"/>
              </w:rPr>
              <w:t>0</w:t>
            </w:r>
          </w:p>
        </w:tc>
      </w:tr>
      <w:tr w:rsidR="00CE2D18" w:rsidRPr="004E0F02" w14:paraId="03E2ABF0" w14:textId="77777777" w:rsidTr="00FE76F2">
        <w:trPr>
          <w:trHeight w:val="348"/>
        </w:trPr>
        <w:tc>
          <w:tcPr>
            <w:tcW w:w="546" w:type="pct"/>
            <w:gridSpan w:val="2"/>
            <w:shd w:val="clear" w:color="auto" w:fill="FFFFFF"/>
            <w:vAlign w:val="center"/>
          </w:tcPr>
          <w:p w14:paraId="45A9F7D6" w14:textId="77777777" w:rsidR="00CE2D18" w:rsidRPr="004E0F02" w:rsidRDefault="00CE2D18" w:rsidP="009A0D0F">
            <w:pPr>
              <w:spacing w:line="240" w:lineRule="auto"/>
              <w:rPr>
                <w:sz w:val="21"/>
                <w:szCs w:val="21"/>
              </w:rPr>
            </w:pPr>
            <w:r w:rsidRPr="004E0F02">
              <w:rPr>
                <w:sz w:val="21"/>
                <w:szCs w:val="21"/>
              </w:rPr>
              <w:t xml:space="preserve">Źródła finansowania </w:t>
            </w:r>
          </w:p>
        </w:tc>
        <w:tc>
          <w:tcPr>
            <w:tcW w:w="4454" w:type="pct"/>
            <w:gridSpan w:val="25"/>
            <w:shd w:val="clear" w:color="auto" w:fill="FFFFFF"/>
            <w:vAlign w:val="center"/>
          </w:tcPr>
          <w:p w14:paraId="2495B7BE" w14:textId="77777777" w:rsidR="00CE2D18" w:rsidRPr="004E0F02" w:rsidRDefault="00CE2D18" w:rsidP="009346F9">
            <w:pPr>
              <w:pStyle w:val="Akapitzlist"/>
              <w:numPr>
                <w:ilvl w:val="0"/>
                <w:numId w:val="10"/>
              </w:numPr>
              <w:spacing w:line="240" w:lineRule="auto"/>
              <w:ind w:left="230" w:hanging="76"/>
              <w:jc w:val="both"/>
              <w:rPr>
                <w:rFonts w:ascii="Times New Roman" w:hAnsi="Times New Roman"/>
                <w:b/>
                <w:sz w:val="21"/>
                <w:szCs w:val="21"/>
              </w:rPr>
            </w:pPr>
            <w:r w:rsidRPr="004E0F02">
              <w:rPr>
                <w:rFonts w:ascii="Times New Roman" w:hAnsi="Times New Roman"/>
                <w:b/>
                <w:sz w:val="21"/>
                <w:szCs w:val="21"/>
              </w:rPr>
              <w:t>Wydatki związane</w:t>
            </w:r>
            <w:r w:rsidR="00AF626C" w:rsidRPr="004E0F02">
              <w:rPr>
                <w:rFonts w:ascii="Times New Roman" w:hAnsi="Times New Roman"/>
                <w:b/>
                <w:sz w:val="21"/>
                <w:szCs w:val="21"/>
              </w:rPr>
              <w:t xml:space="preserve"> z </w:t>
            </w:r>
            <w:r w:rsidRPr="004E0F02">
              <w:rPr>
                <w:rFonts w:ascii="Times New Roman" w:hAnsi="Times New Roman"/>
                <w:b/>
                <w:sz w:val="21"/>
                <w:szCs w:val="21"/>
              </w:rPr>
              <w:t>utrzymaniem</w:t>
            </w:r>
            <w:r w:rsidR="00AF626C" w:rsidRPr="004E0F02">
              <w:rPr>
                <w:rFonts w:ascii="Times New Roman" w:hAnsi="Times New Roman"/>
                <w:b/>
                <w:sz w:val="21"/>
                <w:szCs w:val="21"/>
              </w:rPr>
              <w:t xml:space="preserve"> i </w:t>
            </w:r>
            <w:r w:rsidRPr="004E0F02">
              <w:rPr>
                <w:rFonts w:ascii="Times New Roman" w:hAnsi="Times New Roman"/>
                <w:b/>
                <w:sz w:val="21"/>
                <w:szCs w:val="21"/>
              </w:rPr>
              <w:t>rozwojem portalu otwartych danych (dane.gov.pl).</w:t>
            </w:r>
          </w:p>
          <w:p w14:paraId="1EB6B630" w14:textId="78C4EC22" w:rsidR="00CE2D18" w:rsidRPr="004E0F02" w:rsidRDefault="00CE2D18" w:rsidP="009A0D0F">
            <w:pPr>
              <w:spacing w:line="240" w:lineRule="auto"/>
              <w:jc w:val="both"/>
              <w:rPr>
                <w:sz w:val="21"/>
                <w:szCs w:val="21"/>
              </w:rPr>
            </w:pPr>
            <w:r w:rsidRPr="004E0F02">
              <w:rPr>
                <w:sz w:val="21"/>
                <w:szCs w:val="21"/>
              </w:rPr>
              <w:t>Obecnie zadania związane</w:t>
            </w:r>
            <w:r w:rsidR="00AF626C" w:rsidRPr="004E0F02">
              <w:rPr>
                <w:sz w:val="21"/>
                <w:szCs w:val="21"/>
              </w:rPr>
              <w:t xml:space="preserve"> z </w:t>
            </w:r>
            <w:r w:rsidRPr="004E0F02">
              <w:rPr>
                <w:sz w:val="21"/>
                <w:szCs w:val="21"/>
              </w:rPr>
              <w:t>funkcjonowaniem centralnego repozytorium informacji publicznej (aktualna nazwa portalu danych), na podstawie umowy ramowej, realizuje Centralny Ośrodek Informatyki (jednostka nadzorowana przez</w:t>
            </w:r>
            <w:r w:rsidR="00E651D1" w:rsidRPr="004E0F02">
              <w:rPr>
                <w:sz w:val="21"/>
                <w:szCs w:val="21"/>
              </w:rPr>
              <w:t xml:space="preserve"> ministra właściwego do spraw informatyzacji</w:t>
            </w:r>
            <w:r w:rsidRPr="004E0F02">
              <w:rPr>
                <w:sz w:val="21"/>
                <w:szCs w:val="21"/>
              </w:rPr>
              <w:t xml:space="preserve">). Koszty </w:t>
            </w:r>
            <w:r w:rsidR="00FE76F2" w:rsidRPr="004E0F02">
              <w:rPr>
                <w:sz w:val="21"/>
                <w:szCs w:val="21"/>
              </w:rPr>
              <w:t xml:space="preserve">funkcjonowania </w:t>
            </w:r>
            <w:r w:rsidRPr="004E0F02">
              <w:rPr>
                <w:sz w:val="21"/>
                <w:szCs w:val="21"/>
              </w:rPr>
              <w:t>portalu pokrywane są ze środków pochodzących</w:t>
            </w:r>
            <w:r w:rsidR="00AF626C" w:rsidRPr="004E0F02">
              <w:rPr>
                <w:sz w:val="21"/>
                <w:szCs w:val="21"/>
              </w:rPr>
              <w:t xml:space="preserve"> z </w:t>
            </w:r>
            <w:r w:rsidRPr="004E0F02">
              <w:rPr>
                <w:sz w:val="21"/>
                <w:szCs w:val="21"/>
              </w:rPr>
              <w:t xml:space="preserve">realizowanego przez </w:t>
            </w:r>
            <w:r w:rsidR="00E651D1" w:rsidRPr="004E0F02">
              <w:rPr>
                <w:sz w:val="21"/>
                <w:szCs w:val="21"/>
              </w:rPr>
              <w:t>Kancelarię Prezesa Rady Ministrów (wcześniej Ministerstwo Cyfryzacji)</w:t>
            </w:r>
            <w:r w:rsidRPr="004E0F02">
              <w:rPr>
                <w:sz w:val="21"/>
                <w:szCs w:val="21"/>
              </w:rPr>
              <w:t xml:space="preserve"> projektu </w:t>
            </w:r>
            <w:r w:rsidR="00E45B1D" w:rsidRPr="004E0F02">
              <w:rPr>
                <w:sz w:val="21"/>
                <w:szCs w:val="21"/>
              </w:rPr>
              <w:t>„</w:t>
            </w:r>
            <w:r w:rsidRPr="004E0F02">
              <w:rPr>
                <w:sz w:val="21"/>
                <w:szCs w:val="21"/>
              </w:rPr>
              <w:t>Otwarte dane plus</w:t>
            </w:r>
            <w:r w:rsidR="00E45B1D" w:rsidRPr="004E0F02">
              <w:rPr>
                <w:sz w:val="21"/>
                <w:szCs w:val="21"/>
              </w:rPr>
              <w:t>”</w:t>
            </w:r>
            <w:r w:rsidRPr="004E0F02">
              <w:rPr>
                <w:sz w:val="21"/>
                <w:szCs w:val="21"/>
              </w:rPr>
              <w:t>, dofinansowanego ze środków Programu Operacyjnego Polska Cyfrowa na lata 201</w:t>
            </w:r>
            <w:r w:rsidR="00E45B1D" w:rsidRPr="004E0F02">
              <w:rPr>
                <w:sz w:val="21"/>
                <w:szCs w:val="21"/>
              </w:rPr>
              <w:t>4</w:t>
            </w:r>
            <w:r w:rsidR="00E45B1D" w:rsidRPr="004E0F02">
              <w:rPr>
                <w:sz w:val="21"/>
                <w:szCs w:val="21"/>
              </w:rPr>
              <w:noBreakHyphen/>
            </w:r>
            <w:r w:rsidRPr="004E0F02">
              <w:rPr>
                <w:sz w:val="21"/>
                <w:szCs w:val="21"/>
              </w:rPr>
              <w:t>202</w:t>
            </w:r>
            <w:r w:rsidR="00E45B1D" w:rsidRPr="004E0F02">
              <w:rPr>
                <w:sz w:val="21"/>
                <w:szCs w:val="21"/>
              </w:rPr>
              <w:t>0 w </w:t>
            </w:r>
            <w:r w:rsidRPr="004E0F02">
              <w:rPr>
                <w:sz w:val="21"/>
                <w:szCs w:val="21"/>
              </w:rPr>
              <w:t>ramach II osi E</w:t>
            </w:r>
            <w:r w:rsidR="00AF626C" w:rsidRPr="004E0F02">
              <w:rPr>
                <w:sz w:val="21"/>
                <w:szCs w:val="21"/>
              </w:rPr>
              <w:softHyphen/>
            </w:r>
            <w:r w:rsidR="00E45B1D" w:rsidRPr="004E0F02">
              <w:rPr>
                <w:sz w:val="21"/>
                <w:szCs w:val="21"/>
              </w:rPr>
              <w:softHyphen/>
            </w:r>
            <w:r w:rsidR="00E45B1D" w:rsidRPr="004E0F02">
              <w:rPr>
                <w:sz w:val="21"/>
                <w:szCs w:val="21"/>
              </w:rPr>
              <w:noBreakHyphen/>
            </w:r>
            <w:r w:rsidRPr="004E0F02">
              <w:rPr>
                <w:sz w:val="21"/>
                <w:szCs w:val="21"/>
              </w:rPr>
              <w:t>administracja</w:t>
            </w:r>
            <w:r w:rsidR="00AF626C" w:rsidRPr="004E0F02">
              <w:rPr>
                <w:sz w:val="21"/>
                <w:szCs w:val="21"/>
              </w:rPr>
              <w:t xml:space="preserve"> i </w:t>
            </w:r>
            <w:r w:rsidRPr="004E0F02">
              <w:rPr>
                <w:sz w:val="21"/>
                <w:szCs w:val="21"/>
              </w:rPr>
              <w:t>otwarty rząd, poddziałanie 2.3.</w:t>
            </w:r>
            <w:r w:rsidR="00AF626C" w:rsidRPr="004E0F02">
              <w:rPr>
                <w:sz w:val="21"/>
                <w:szCs w:val="21"/>
              </w:rPr>
              <w:t>1 </w:t>
            </w:r>
            <w:r w:rsidR="00E45B1D" w:rsidRPr="004E0F02">
              <w:rPr>
                <w:sz w:val="21"/>
                <w:szCs w:val="21"/>
              </w:rPr>
              <w:t>”</w:t>
            </w:r>
            <w:r w:rsidRPr="004E0F02">
              <w:rPr>
                <w:sz w:val="21"/>
                <w:szCs w:val="21"/>
              </w:rPr>
              <w:t>Cyfrowe udostępnienie informacji sektora publicznego ze źródeł administracyjnych</w:t>
            </w:r>
            <w:r w:rsidR="00AF626C" w:rsidRPr="004E0F02">
              <w:rPr>
                <w:sz w:val="21"/>
                <w:szCs w:val="21"/>
              </w:rPr>
              <w:t xml:space="preserve"> i </w:t>
            </w:r>
            <w:r w:rsidRPr="004E0F02">
              <w:rPr>
                <w:sz w:val="21"/>
                <w:szCs w:val="21"/>
              </w:rPr>
              <w:t>zasobów nauki</w:t>
            </w:r>
            <w:r w:rsidR="00E45B1D" w:rsidRPr="004E0F02">
              <w:rPr>
                <w:sz w:val="21"/>
                <w:szCs w:val="21"/>
              </w:rPr>
              <w:t>”</w:t>
            </w:r>
            <w:r w:rsidRPr="004E0F02">
              <w:rPr>
                <w:sz w:val="21"/>
                <w:szCs w:val="21"/>
              </w:rPr>
              <w:t xml:space="preserve"> (POPC.02.03.0</w:t>
            </w:r>
            <w:r w:rsidR="00E45B1D" w:rsidRPr="004E0F02">
              <w:rPr>
                <w:sz w:val="21"/>
                <w:szCs w:val="21"/>
              </w:rPr>
              <w:t>1</w:t>
            </w:r>
            <w:r w:rsidR="00E45B1D" w:rsidRPr="004E0F02">
              <w:rPr>
                <w:sz w:val="21"/>
                <w:szCs w:val="21"/>
              </w:rPr>
              <w:noBreakHyphen/>
            </w:r>
            <w:r w:rsidRPr="004E0F02">
              <w:rPr>
                <w:sz w:val="21"/>
                <w:szCs w:val="21"/>
              </w:rPr>
              <w:t>0</w:t>
            </w:r>
            <w:r w:rsidR="00E45B1D" w:rsidRPr="004E0F02">
              <w:rPr>
                <w:sz w:val="21"/>
                <w:szCs w:val="21"/>
              </w:rPr>
              <w:t>0</w:t>
            </w:r>
            <w:r w:rsidR="00E45B1D" w:rsidRPr="004E0F02">
              <w:rPr>
                <w:sz w:val="21"/>
                <w:szCs w:val="21"/>
              </w:rPr>
              <w:noBreakHyphen/>
            </w:r>
            <w:r w:rsidRPr="004E0F02">
              <w:rPr>
                <w:sz w:val="21"/>
                <w:szCs w:val="21"/>
              </w:rPr>
              <w:t>0064/1</w:t>
            </w:r>
            <w:r w:rsidR="00E45B1D" w:rsidRPr="004E0F02">
              <w:rPr>
                <w:sz w:val="21"/>
                <w:szCs w:val="21"/>
              </w:rPr>
              <w:t>8</w:t>
            </w:r>
            <w:r w:rsidR="00E45B1D" w:rsidRPr="004E0F02">
              <w:rPr>
                <w:sz w:val="21"/>
                <w:szCs w:val="21"/>
              </w:rPr>
              <w:noBreakHyphen/>
            </w:r>
            <w:r w:rsidRPr="004E0F02">
              <w:rPr>
                <w:sz w:val="21"/>
                <w:szCs w:val="21"/>
              </w:rPr>
              <w:t>00).</w:t>
            </w:r>
          </w:p>
          <w:p w14:paraId="627811D2" w14:textId="77777777" w:rsidR="00CE2D18" w:rsidRPr="004E0F02" w:rsidRDefault="00CE2D18" w:rsidP="009A0D0F">
            <w:pPr>
              <w:spacing w:line="240" w:lineRule="auto"/>
              <w:jc w:val="both"/>
              <w:rPr>
                <w:sz w:val="21"/>
                <w:szCs w:val="21"/>
              </w:rPr>
            </w:pPr>
          </w:p>
          <w:p w14:paraId="3350A2F2" w14:textId="35A3D24F" w:rsidR="00CE2D18" w:rsidRPr="004E0F02" w:rsidRDefault="00CE2D18" w:rsidP="009A0D0F">
            <w:pPr>
              <w:spacing w:line="240" w:lineRule="auto"/>
              <w:jc w:val="both"/>
              <w:rPr>
                <w:sz w:val="21"/>
                <w:szCs w:val="21"/>
              </w:rPr>
            </w:pPr>
            <w:r w:rsidRPr="004E0F02">
              <w:rPr>
                <w:sz w:val="21"/>
                <w:szCs w:val="21"/>
              </w:rPr>
              <w:t>Struktura źródeł finansowania wydatków związanych</w:t>
            </w:r>
            <w:r w:rsidR="00AF626C" w:rsidRPr="004E0F02">
              <w:rPr>
                <w:sz w:val="21"/>
                <w:szCs w:val="21"/>
              </w:rPr>
              <w:t xml:space="preserve"> z </w:t>
            </w:r>
            <w:r w:rsidRPr="004E0F02">
              <w:rPr>
                <w:sz w:val="21"/>
                <w:szCs w:val="21"/>
              </w:rPr>
              <w:t>utrzymaniem oraz rozwojem portalu otwartych danych</w:t>
            </w:r>
            <w:r w:rsidR="00AF626C" w:rsidRPr="004E0F02">
              <w:rPr>
                <w:sz w:val="21"/>
                <w:szCs w:val="21"/>
              </w:rPr>
              <w:t xml:space="preserve"> w </w:t>
            </w:r>
            <w:r w:rsidRPr="004E0F02">
              <w:rPr>
                <w:sz w:val="21"/>
                <w:szCs w:val="21"/>
              </w:rPr>
              <w:t>pierwszym roku obowiązywania ustawy (202</w:t>
            </w:r>
            <w:r w:rsidR="00AF626C" w:rsidRPr="004E0F02">
              <w:rPr>
                <w:sz w:val="21"/>
                <w:szCs w:val="21"/>
              </w:rPr>
              <w:t>1 </w:t>
            </w:r>
            <w:r w:rsidRPr="004E0F02">
              <w:rPr>
                <w:sz w:val="21"/>
                <w:szCs w:val="21"/>
              </w:rPr>
              <w:t>r.) pozostanie bez zmian. Źródłem finansowania wydatków</w:t>
            </w:r>
            <w:r w:rsidR="00AF626C" w:rsidRPr="004E0F02">
              <w:rPr>
                <w:sz w:val="21"/>
                <w:szCs w:val="21"/>
              </w:rPr>
              <w:t xml:space="preserve"> w </w:t>
            </w:r>
            <w:r w:rsidRPr="004E0F02">
              <w:rPr>
                <w:sz w:val="21"/>
                <w:szCs w:val="21"/>
              </w:rPr>
              <w:t>kwocie 2,2</w:t>
            </w:r>
            <w:r w:rsidR="00AF626C" w:rsidRPr="004E0F02">
              <w:rPr>
                <w:sz w:val="21"/>
                <w:szCs w:val="21"/>
              </w:rPr>
              <w:t>1 </w:t>
            </w:r>
            <w:r w:rsidRPr="004E0F02">
              <w:rPr>
                <w:sz w:val="21"/>
                <w:szCs w:val="21"/>
              </w:rPr>
              <w:t>mln zł będą środki pochodzące</w:t>
            </w:r>
            <w:r w:rsidR="00AF626C" w:rsidRPr="004E0F02">
              <w:rPr>
                <w:sz w:val="21"/>
                <w:szCs w:val="21"/>
              </w:rPr>
              <w:t xml:space="preserve"> z</w:t>
            </w:r>
            <w:r w:rsidR="00CC3329" w:rsidRPr="004E0F02">
              <w:rPr>
                <w:sz w:val="21"/>
                <w:szCs w:val="21"/>
              </w:rPr>
              <w:t> </w:t>
            </w:r>
            <w:r w:rsidRPr="004E0F02">
              <w:rPr>
                <w:sz w:val="21"/>
                <w:szCs w:val="21"/>
              </w:rPr>
              <w:t xml:space="preserve"> projektu pn. </w:t>
            </w:r>
            <w:r w:rsidR="00E45B1D" w:rsidRPr="004E0F02">
              <w:rPr>
                <w:sz w:val="21"/>
                <w:szCs w:val="21"/>
              </w:rPr>
              <w:t>„</w:t>
            </w:r>
            <w:r w:rsidRPr="004E0F02">
              <w:rPr>
                <w:sz w:val="21"/>
                <w:szCs w:val="21"/>
              </w:rPr>
              <w:t>Otwarte dane plus</w:t>
            </w:r>
            <w:r w:rsidR="00E45B1D" w:rsidRPr="004E0F02">
              <w:rPr>
                <w:sz w:val="21"/>
                <w:szCs w:val="21"/>
              </w:rPr>
              <w:t>”</w:t>
            </w:r>
            <w:r w:rsidRPr="004E0F02">
              <w:rPr>
                <w:sz w:val="21"/>
                <w:szCs w:val="21"/>
              </w:rPr>
              <w:t xml:space="preserve"> dofinansowanego ze środków Programu Operacyjnego Polska Cyfrowa na lata 201</w:t>
            </w:r>
            <w:r w:rsidR="00AF626C" w:rsidRPr="004E0F02">
              <w:rPr>
                <w:sz w:val="21"/>
                <w:szCs w:val="21"/>
              </w:rPr>
              <w:t>4 </w:t>
            </w:r>
            <w:r w:rsidRPr="004E0F02">
              <w:rPr>
                <w:sz w:val="21"/>
                <w:szCs w:val="21"/>
              </w:rPr>
              <w:t>– 202</w:t>
            </w:r>
            <w:r w:rsidR="00E45B1D" w:rsidRPr="004E0F02">
              <w:rPr>
                <w:sz w:val="21"/>
                <w:szCs w:val="21"/>
              </w:rPr>
              <w:t>0 </w:t>
            </w:r>
            <w:r w:rsidRPr="004E0F02">
              <w:rPr>
                <w:sz w:val="21"/>
                <w:szCs w:val="21"/>
              </w:rPr>
              <w:t>(POPC.02.03.0</w:t>
            </w:r>
            <w:r w:rsidR="00E45B1D" w:rsidRPr="004E0F02">
              <w:rPr>
                <w:sz w:val="21"/>
                <w:szCs w:val="21"/>
              </w:rPr>
              <w:t>1</w:t>
            </w:r>
            <w:r w:rsidR="00E45B1D" w:rsidRPr="004E0F02">
              <w:rPr>
                <w:sz w:val="21"/>
                <w:szCs w:val="21"/>
              </w:rPr>
              <w:noBreakHyphen/>
            </w:r>
            <w:r w:rsidRPr="004E0F02">
              <w:rPr>
                <w:sz w:val="21"/>
                <w:szCs w:val="21"/>
              </w:rPr>
              <w:t>0</w:t>
            </w:r>
            <w:r w:rsidR="00E45B1D" w:rsidRPr="004E0F02">
              <w:rPr>
                <w:sz w:val="21"/>
                <w:szCs w:val="21"/>
              </w:rPr>
              <w:t>0</w:t>
            </w:r>
            <w:r w:rsidR="00E45B1D" w:rsidRPr="004E0F02">
              <w:rPr>
                <w:sz w:val="21"/>
                <w:szCs w:val="21"/>
              </w:rPr>
              <w:noBreakHyphen/>
            </w:r>
            <w:r w:rsidRPr="004E0F02">
              <w:rPr>
                <w:sz w:val="21"/>
                <w:szCs w:val="21"/>
              </w:rPr>
              <w:t>0064/1</w:t>
            </w:r>
            <w:r w:rsidR="00E45B1D" w:rsidRPr="004E0F02">
              <w:rPr>
                <w:sz w:val="21"/>
                <w:szCs w:val="21"/>
              </w:rPr>
              <w:t>8</w:t>
            </w:r>
            <w:r w:rsidR="00E45B1D" w:rsidRPr="004E0F02">
              <w:rPr>
                <w:sz w:val="21"/>
                <w:szCs w:val="21"/>
              </w:rPr>
              <w:noBreakHyphen/>
            </w:r>
            <w:r w:rsidRPr="004E0F02">
              <w:rPr>
                <w:sz w:val="21"/>
                <w:szCs w:val="21"/>
              </w:rPr>
              <w:t>00).</w:t>
            </w:r>
            <w:r w:rsidR="00E45B1D" w:rsidRPr="004E0F02">
              <w:rPr>
                <w:sz w:val="21"/>
                <w:szCs w:val="21"/>
              </w:rPr>
              <w:t xml:space="preserve"> W </w:t>
            </w:r>
            <w:r w:rsidR="006653AE" w:rsidRPr="004E0F02">
              <w:rPr>
                <w:sz w:val="21"/>
                <w:szCs w:val="21"/>
              </w:rPr>
              <w:t>tym środki pochodzące</w:t>
            </w:r>
            <w:r w:rsidR="00E45B1D" w:rsidRPr="004E0F02">
              <w:rPr>
                <w:sz w:val="21"/>
                <w:szCs w:val="21"/>
              </w:rPr>
              <w:t xml:space="preserve"> z </w:t>
            </w:r>
            <w:r w:rsidR="006653AE" w:rsidRPr="004E0F02">
              <w:rPr>
                <w:sz w:val="21"/>
                <w:szCs w:val="21"/>
              </w:rPr>
              <w:t>UE: 1,8</w:t>
            </w:r>
            <w:r w:rsidR="00E45B1D" w:rsidRPr="004E0F02">
              <w:rPr>
                <w:sz w:val="21"/>
                <w:szCs w:val="21"/>
              </w:rPr>
              <w:t>7 </w:t>
            </w:r>
            <w:r w:rsidR="006653AE" w:rsidRPr="004E0F02">
              <w:rPr>
                <w:sz w:val="21"/>
                <w:szCs w:val="21"/>
              </w:rPr>
              <w:t>mln zł</w:t>
            </w:r>
            <w:r w:rsidR="006653AE" w:rsidRPr="004E0F02">
              <w:rPr>
                <w:rStyle w:val="Odwoanieprzypisudolnego"/>
                <w:sz w:val="21"/>
                <w:szCs w:val="21"/>
              </w:rPr>
              <w:footnoteReference w:id="56"/>
            </w:r>
            <w:r w:rsidR="006653AE" w:rsidRPr="004E0F02">
              <w:rPr>
                <w:sz w:val="21"/>
                <w:szCs w:val="21"/>
              </w:rPr>
              <w:t xml:space="preserve"> (84,</w:t>
            </w:r>
            <w:r w:rsidR="00F26D58" w:rsidRPr="004E0F02">
              <w:rPr>
                <w:sz w:val="21"/>
                <w:szCs w:val="21"/>
              </w:rPr>
              <w:t>6</w:t>
            </w:r>
            <w:r w:rsidR="006653AE" w:rsidRPr="004E0F02">
              <w:rPr>
                <w:sz w:val="21"/>
                <w:szCs w:val="21"/>
              </w:rPr>
              <w:t>3%) oraz wkład krajowy: 0,3</w:t>
            </w:r>
            <w:r w:rsidR="00E45B1D" w:rsidRPr="004E0F02">
              <w:rPr>
                <w:sz w:val="21"/>
                <w:szCs w:val="21"/>
              </w:rPr>
              <w:t>4 </w:t>
            </w:r>
            <w:r w:rsidR="006653AE" w:rsidRPr="004E0F02">
              <w:rPr>
                <w:sz w:val="21"/>
                <w:szCs w:val="21"/>
              </w:rPr>
              <w:t>mln zł</w:t>
            </w:r>
            <w:r w:rsidR="006653AE" w:rsidRPr="004E0F02">
              <w:rPr>
                <w:rStyle w:val="Odwoanieprzypisudolnego"/>
                <w:sz w:val="21"/>
                <w:szCs w:val="21"/>
              </w:rPr>
              <w:footnoteReference w:id="57"/>
            </w:r>
            <w:r w:rsidR="006653AE" w:rsidRPr="004E0F02">
              <w:rPr>
                <w:sz w:val="21"/>
                <w:szCs w:val="21"/>
              </w:rPr>
              <w:t xml:space="preserve"> (15,37%</w:t>
            </w:r>
            <w:r w:rsidR="008A6D23" w:rsidRPr="004E0F02">
              <w:rPr>
                <w:sz w:val="21"/>
                <w:szCs w:val="21"/>
              </w:rPr>
              <w:t>).</w:t>
            </w:r>
          </w:p>
          <w:p w14:paraId="3787E8D8" w14:textId="77777777" w:rsidR="00CE2D18" w:rsidRPr="004E0F02" w:rsidRDefault="00CE2D18" w:rsidP="009A0D0F">
            <w:pPr>
              <w:spacing w:line="240" w:lineRule="auto"/>
              <w:jc w:val="both"/>
              <w:rPr>
                <w:sz w:val="21"/>
                <w:szCs w:val="21"/>
              </w:rPr>
            </w:pPr>
          </w:p>
          <w:p w14:paraId="73FC7285" w14:textId="5717BD84" w:rsidR="00CE2D18" w:rsidRPr="004E0F02" w:rsidRDefault="00CE2D18" w:rsidP="009A0D0F">
            <w:pPr>
              <w:spacing w:line="240" w:lineRule="auto"/>
              <w:jc w:val="both"/>
              <w:rPr>
                <w:sz w:val="21"/>
                <w:szCs w:val="21"/>
              </w:rPr>
            </w:pPr>
            <w:r w:rsidRPr="004E0F02">
              <w:rPr>
                <w:sz w:val="21"/>
                <w:szCs w:val="21"/>
              </w:rPr>
              <w:t>Zakłada się, że</w:t>
            </w:r>
            <w:r w:rsidR="00AF626C" w:rsidRPr="004E0F02">
              <w:rPr>
                <w:sz w:val="21"/>
                <w:szCs w:val="21"/>
              </w:rPr>
              <w:t xml:space="preserve"> w </w:t>
            </w:r>
            <w:r w:rsidRPr="004E0F02">
              <w:rPr>
                <w:sz w:val="21"/>
                <w:szCs w:val="21"/>
              </w:rPr>
              <w:t>latach 202</w:t>
            </w:r>
            <w:r w:rsidR="00AF626C" w:rsidRPr="004E0F02">
              <w:rPr>
                <w:sz w:val="21"/>
                <w:szCs w:val="21"/>
              </w:rPr>
              <w:t>2 </w:t>
            </w:r>
            <w:r w:rsidRPr="004E0F02">
              <w:rPr>
                <w:sz w:val="21"/>
                <w:szCs w:val="21"/>
              </w:rPr>
              <w:t>r. – 203</w:t>
            </w:r>
            <w:r w:rsidR="00AF626C" w:rsidRPr="004E0F02">
              <w:rPr>
                <w:sz w:val="21"/>
                <w:szCs w:val="21"/>
              </w:rPr>
              <w:t>1 </w:t>
            </w:r>
            <w:r w:rsidRPr="004E0F02">
              <w:rPr>
                <w:sz w:val="21"/>
                <w:szCs w:val="21"/>
              </w:rPr>
              <w:t xml:space="preserve">r. (po zakończeniu projektu </w:t>
            </w:r>
            <w:r w:rsidR="00E45B1D" w:rsidRPr="004E0F02">
              <w:rPr>
                <w:sz w:val="21"/>
                <w:szCs w:val="21"/>
              </w:rPr>
              <w:t>„</w:t>
            </w:r>
            <w:r w:rsidRPr="004E0F02">
              <w:rPr>
                <w:sz w:val="21"/>
                <w:szCs w:val="21"/>
              </w:rPr>
              <w:t>Otwarte dane plus</w:t>
            </w:r>
            <w:r w:rsidR="00E45B1D" w:rsidRPr="004E0F02">
              <w:rPr>
                <w:sz w:val="21"/>
                <w:szCs w:val="21"/>
              </w:rPr>
              <w:t>”</w:t>
            </w:r>
            <w:r w:rsidRPr="004E0F02">
              <w:rPr>
                <w:sz w:val="21"/>
                <w:szCs w:val="21"/>
              </w:rPr>
              <w:t>) wydatki związane</w:t>
            </w:r>
            <w:r w:rsidR="00AF626C" w:rsidRPr="004E0F02">
              <w:rPr>
                <w:sz w:val="21"/>
                <w:szCs w:val="21"/>
              </w:rPr>
              <w:t xml:space="preserve"> z </w:t>
            </w:r>
            <w:r w:rsidRPr="004E0F02">
              <w:rPr>
                <w:sz w:val="21"/>
                <w:szCs w:val="21"/>
              </w:rPr>
              <w:t>utrzymaniem oraz rozwojem portalu dane.gov.pl finansowane będą</w:t>
            </w:r>
            <w:r w:rsidR="00AF626C" w:rsidRPr="004E0F02">
              <w:rPr>
                <w:sz w:val="21"/>
                <w:szCs w:val="21"/>
              </w:rPr>
              <w:t xml:space="preserve"> w </w:t>
            </w:r>
            <w:r w:rsidRPr="004E0F02">
              <w:rPr>
                <w:sz w:val="21"/>
                <w:szCs w:val="21"/>
              </w:rPr>
              <w:t>całości z budżetu państwa lub</w:t>
            </w:r>
            <w:r w:rsidR="00AF626C" w:rsidRPr="004E0F02">
              <w:rPr>
                <w:sz w:val="21"/>
                <w:szCs w:val="21"/>
              </w:rPr>
              <w:t xml:space="preserve"> w </w:t>
            </w:r>
            <w:r w:rsidRPr="004E0F02">
              <w:rPr>
                <w:sz w:val="21"/>
                <w:szCs w:val="21"/>
              </w:rPr>
              <w:t xml:space="preserve">przypadku uruchomienia nowego projektu dot. otwartych danych </w:t>
            </w:r>
            <w:r w:rsidR="00E45B1D" w:rsidRPr="004E0F02">
              <w:rPr>
                <w:sz w:val="21"/>
                <w:szCs w:val="21"/>
              </w:rPr>
              <w:noBreakHyphen/>
              <w:t xml:space="preserve"> </w:t>
            </w:r>
            <w:r w:rsidR="00AF626C" w:rsidRPr="004E0F02">
              <w:rPr>
                <w:sz w:val="21"/>
                <w:szCs w:val="21"/>
              </w:rPr>
              <w:t>z </w:t>
            </w:r>
            <w:r w:rsidRPr="004E0F02">
              <w:rPr>
                <w:sz w:val="21"/>
                <w:szCs w:val="21"/>
              </w:rPr>
              <w:t xml:space="preserve">budżetu państwa oraz środków UE. </w:t>
            </w:r>
            <w:r w:rsidR="00633AF9" w:rsidRPr="004E0F02">
              <w:rPr>
                <w:sz w:val="21"/>
                <w:szCs w:val="21"/>
              </w:rPr>
              <w:t xml:space="preserve">Kancelaria Prezesa Rady Ministrów </w:t>
            </w:r>
            <w:r w:rsidRPr="004E0F02">
              <w:rPr>
                <w:sz w:val="21"/>
                <w:szCs w:val="21"/>
              </w:rPr>
              <w:t>planuje, że działania związane z rozwojem i rozbudową portalu dane.gov.pl (realizowane obecnie</w:t>
            </w:r>
            <w:r w:rsidR="00AF626C" w:rsidRPr="004E0F02">
              <w:rPr>
                <w:sz w:val="21"/>
                <w:szCs w:val="21"/>
              </w:rPr>
              <w:t xml:space="preserve"> w </w:t>
            </w:r>
            <w:r w:rsidRPr="004E0F02">
              <w:rPr>
                <w:sz w:val="21"/>
                <w:szCs w:val="21"/>
              </w:rPr>
              <w:t xml:space="preserve">ramach projektu </w:t>
            </w:r>
            <w:r w:rsidR="00E45B1D" w:rsidRPr="004E0F02">
              <w:rPr>
                <w:sz w:val="21"/>
                <w:szCs w:val="21"/>
              </w:rPr>
              <w:t>„</w:t>
            </w:r>
            <w:r w:rsidRPr="004E0F02">
              <w:rPr>
                <w:sz w:val="21"/>
                <w:szCs w:val="21"/>
              </w:rPr>
              <w:t>Otwarte dane plus</w:t>
            </w:r>
            <w:r w:rsidR="00E45B1D" w:rsidRPr="004E0F02">
              <w:rPr>
                <w:sz w:val="21"/>
                <w:szCs w:val="21"/>
              </w:rPr>
              <w:t>”</w:t>
            </w:r>
            <w:r w:rsidRPr="004E0F02">
              <w:rPr>
                <w:sz w:val="21"/>
                <w:szCs w:val="21"/>
              </w:rPr>
              <w:t>) kontynuowane będą</w:t>
            </w:r>
            <w:r w:rsidR="00AF626C" w:rsidRPr="004E0F02">
              <w:rPr>
                <w:sz w:val="21"/>
                <w:szCs w:val="21"/>
              </w:rPr>
              <w:t xml:space="preserve"> w </w:t>
            </w:r>
            <w:r w:rsidRPr="004E0F02">
              <w:rPr>
                <w:sz w:val="21"/>
                <w:szCs w:val="21"/>
              </w:rPr>
              <w:t>nowej perspektywie budżetowej UE</w:t>
            </w:r>
            <w:r w:rsidR="00AF626C" w:rsidRPr="004E0F02">
              <w:rPr>
                <w:sz w:val="21"/>
                <w:szCs w:val="21"/>
              </w:rPr>
              <w:t xml:space="preserve"> w </w:t>
            </w:r>
            <w:r w:rsidRPr="004E0F02">
              <w:rPr>
                <w:sz w:val="21"/>
                <w:szCs w:val="21"/>
              </w:rPr>
              <w:t>ramach projektów dotyczących cyfrowej dostępności</w:t>
            </w:r>
            <w:r w:rsidR="00AF626C" w:rsidRPr="004E0F02">
              <w:rPr>
                <w:sz w:val="21"/>
                <w:szCs w:val="21"/>
              </w:rPr>
              <w:t xml:space="preserve"> i </w:t>
            </w:r>
            <w:r w:rsidRPr="004E0F02">
              <w:rPr>
                <w:sz w:val="21"/>
                <w:szCs w:val="21"/>
              </w:rPr>
              <w:t>użyteczności informacji sektora publicznego oraz projektów służących zwiększeniu dostępności</w:t>
            </w:r>
            <w:r w:rsidR="00AF626C" w:rsidRPr="004E0F02">
              <w:rPr>
                <w:sz w:val="21"/>
                <w:szCs w:val="21"/>
              </w:rPr>
              <w:t xml:space="preserve"> i </w:t>
            </w:r>
            <w:r w:rsidRPr="004E0F02">
              <w:rPr>
                <w:sz w:val="21"/>
                <w:szCs w:val="21"/>
              </w:rPr>
              <w:t>wykorzystywania danych</w:t>
            </w:r>
            <w:r w:rsidR="00AF626C" w:rsidRPr="004E0F02">
              <w:rPr>
                <w:sz w:val="21"/>
                <w:szCs w:val="21"/>
              </w:rPr>
              <w:t xml:space="preserve"> w </w:t>
            </w:r>
            <w:r w:rsidRPr="004E0F02">
              <w:rPr>
                <w:sz w:val="21"/>
                <w:szCs w:val="21"/>
              </w:rPr>
              <w:t>gospodarce</w:t>
            </w:r>
            <w:r w:rsidR="00AF626C" w:rsidRPr="004E0F02">
              <w:rPr>
                <w:sz w:val="21"/>
                <w:szCs w:val="21"/>
              </w:rPr>
              <w:t xml:space="preserve"> i </w:t>
            </w:r>
            <w:r w:rsidRPr="004E0F02">
              <w:rPr>
                <w:sz w:val="21"/>
                <w:szCs w:val="21"/>
              </w:rPr>
              <w:t>administracji dofinansowanych ze środków z funduszy europejskich (wieloletnie ramy finansowe na lata 202</w:t>
            </w:r>
            <w:r w:rsidR="00E45B1D" w:rsidRPr="004E0F02">
              <w:rPr>
                <w:sz w:val="21"/>
                <w:szCs w:val="21"/>
              </w:rPr>
              <w:t>1</w:t>
            </w:r>
            <w:r w:rsidR="00E45B1D" w:rsidRPr="004E0F02">
              <w:rPr>
                <w:sz w:val="21"/>
                <w:szCs w:val="21"/>
              </w:rPr>
              <w:noBreakHyphen/>
            </w:r>
            <w:r w:rsidRPr="004E0F02">
              <w:rPr>
                <w:sz w:val="21"/>
                <w:szCs w:val="21"/>
              </w:rPr>
              <w:t>2027). Uruchomienie nowego projektu pozwoli na zmniejszenie udziału środków pochodzących z budżetu państwa w ogólnej sumie wydatków związanych</w:t>
            </w:r>
            <w:r w:rsidR="00AF626C" w:rsidRPr="004E0F02">
              <w:rPr>
                <w:sz w:val="21"/>
                <w:szCs w:val="21"/>
              </w:rPr>
              <w:t xml:space="preserve"> z </w:t>
            </w:r>
            <w:r w:rsidRPr="004E0F02">
              <w:rPr>
                <w:sz w:val="21"/>
                <w:szCs w:val="21"/>
              </w:rPr>
              <w:t>utrzymaniem i rozwojem portalu danych.</w:t>
            </w:r>
          </w:p>
          <w:p w14:paraId="36C2402B" w14:textId="77777777" w:rsidR="00CE2D18" w:rsidRPr="004E0F02" w:rsidRDefault="00CE2D18" w:rsidP="009A0D0F">
            <w:pPr>
              <w:spacing w:line="240" w:lineRule="auto"/>
              <w:jc w:val="both"/>
              <w:rPr>
                <w:sz w:val="21"/>
                <w:szCs w:val="21"/>
              </w:rPr>
            </w:pPr>
          </w:p>
          <w:tbl>
            <w:tblPr>
              <w:tblStyle w:val="Tabela-Siatka"/>
              <w:tblW w:w="7164" w:type="dxa"/>
              <w:jc w:val="center"/>
              <w:tblLayout w:type="fixed"/>
              <w:tblLook w:val="04A0" w:firstRow="1" w:lastRow="0" w:firstColumn="1" w:lastColumn="0" w:noHBand="0" w:noVBand="1"/>
            </w:tblPr>
            <w:tblGrid>
              <w:gridCol w:w="497"/>
              <w:gridCol w:w="850"/>
              <w:gridCol w:w="1706"/>
              <w:gridCol w:w="1927"/>
              <w:gridCol w:w="2184"/>
            </w:tblGrid>
            <w:tr w:rsidR="00CE2D18" w:rsidRPr="004E0F02" w14:paraId="74A28F93" w14:textId="77777777" w:rsidTr="00CC3329">
              <w:trPr>
                <w:jc w:val="center"/>
              </w:trPr>
              <w:tc>
                <w:tcPr>
                  <w:tcW w:w="7164" w:type="dxa"/>
                  <w:gridSpan w:val="5"/>
                </w:tcPr>
                <w:p w14:paraId="5524822B" w14:textId="44CE562E" w:rsidR="00CE2D18" w:rsidRPr="004E0F02" w:rsidRDefault="00CE2D18" w:rsidP="00633AF9">
                  <w:pPr>
                    <w:ind w:hanging="37"/>
                    <w:jc w:val="both"/>
                    <w:rPr>
                      <w:sz w:val="21"/>
                      <w:szCs w:val="21"/>
                    </w:rPr>
                  </w:pPr>
                  <w:r w:rsidRPr="004E0F02">
                    <w:rPr>
                      <w:sz w:val="21"/>
                      <w:szCs w:val="21"/>
                    </w:rPr>
                    <w:t>Źródła finansowania oraz prognozowane kwoty wydatków związanych z utrzymaniem</w:t>
                  </w:r>
                  <w:r w:rsidR="00AF626C" w:rsidRPr="004E0F02">
                    <w:rPr>
                      <w:sz w:val="21"/>
                      <w:szCs w:val="21"/>
                    </w:rPr>
                    <w:t xml:space="preserve"> i </w:t>
                  </w:r>
                  <w:r w:rsidRPr="004E0F02">
                    <w:rPr>
                      <w:sz w:val="21"/>
                      <w:szCs w:val="21"/>
                    </w:rPr>
                    <w:t>rozwojem portalu danych</w:t>
                  </w:r>
                  <w:r w:rsidR="00AF626C" w:rsidRPr="004E0F02">
                    <w:rPr>
                      <w:sz w:val="21"/>
                      <w:szCs w:val="21"/>
                    </w:rPr>
                    <w:t xml:space="preserve"> w </w:t>
                  </w:r>
                  <w:r w:rsidRPr="004E0F02">
                    <w:rPr>
                      <w:sz w:val="21"/>
                      <w:szCs w:val="21"/>
                    </w:rPr>
                    <w:t>okresie 1</w:t>
                  </w:r>
                  <w:r w:rsidR="00AF626C" w:rsidRPr="004E0F02">
                    <w:rPr>
                      <w:sz w:val="21"/>
                      <w:szCs w:val="21"/>
                    </w:rPr>
                    <w:t>0 </w:t>
                  </w:r>
                  <w:r w:rsidRPr="004E0F02">
                    <w:rPr>
                      <w:sz w:val="21"/>
                      <w:szCs w:val="21"/>
                    </w:rPr>
                    <w:t>lat od wejścia</w:t>
                  </w:r>
                  <w:r w:rsidR="00AF626C" w:rsidRPr="004E0F02">
                    <w:rPr>
                      <w:sz w:val="21"/>
                      <w:szCs w:val="21"/>
                    </w:rPr>
                    <w:t xml:space="preserve"> w </w:t>
                  </w:r>
                  <w:r w:rsidRPr="004E0F02">
                    <w:rPr>
                      <w:sz w:val="21"/>
                      <w:szCs w:val="21"/>
                    </w:rPr>
                    <w:t>życie ustawy</w:t>
                  </w:r>
                </w:p>
              </w:tc>
            </w:tr>
            <w:tr w:rsidR="00CE2D18" w:rsidRPr="004E0F02" w14:paraId="238DBABE" w14:textId="77777777" w:rsidTr="00CC3329">
              <w:trPr>
                <w:jc w:val="center"/>
              </w:trPr>
              <w:tc>
                <w:tcPr>
                  <w:tcW w:w="1347" w:type="dxa"/>
                  <w:gridSpan w:val="2"/>
                </w:tcPr>
                <w:p w14:paraId="1B6AE015" w14:textId="77777777" w:rsidR="00CE2D18" w:rsidRPr="004E0F02" w:rsidRDefault="00CE2D18" w:rsidP="009A0D0F">
                  <w:pPr>
                    <w:jc w:val="center"/>
                    <w:rPr>
                      <w:sz w:val="21"/>
                      <w:szCs w:val="21"/>
                    </w:rPr>
                  </w:pPr>
                  <w:r w:rsidRPr="004E0F02">
                    <w:rPr>
                      <w:sz w:val="21"/>
                      <w:szCs w:val="21"/>
                    </w:rPr>
                    <w:t>Lata</w:t>
                  </w:r>
                </w:p>
              </w:tc>
              <w:tc>
                <w:tcPr>
                  <w:tcW w:w="1706" w:type="dxa"/>
                </w:tcPr>
                <w:p w14:paraId="6E234BD6" w14:textId="77777777" w:rsidR="00CE2D18" w:rsidRPr="004E0F02" w:rsidRDefault="00CE2D18" w:rsidP="009A0D0F">
                  <w:pPr>
                    <w:jc w:val="center"/>
                    <w:rPr>
                      <w:sz w:val="21"/>
                      <w:szCs w:val="21"/>
                    </w:rPr>
                  </w:pPr>
                  <w:r w:rsidRPr="004E0F02">
                    <w:rPr>
                      <w:sz w:val="21"/>
                      <w:szCs w:val="21"/>
                    </w:rPr>
                    <w:t>Wydatki [mln zł]</w:t>
                  </w:r>
                </w:p>
              </w:tc>
              <w:tc>
                <w:tcPr>
                  <w:tcW w:w="4111" w:type="dxa"/>
                  <w:gridSpan w:val="2"/>
                </w:tcPr>
                <w:p w14:paraId="5B213226" w14:textId="77777777" w:rsidR="00CE2D18" w:rsidRPr="004E0F02" w:rsidRDefault="00CE2D18" w:rsidP="009A0D0F">
                  <w:pPr>
                    <w:jc w:val="center"/>
                    <w:rPr>
                      <w:sz w:val="21"/>
                      <w:szCs w:val="21"/>
                    </w:rPr>
                  </w:pPr>
                  <w:r w:rsidRPr="004E0F02">
                    <w:rPr>
                      <w:sz w:val="21"/>
                      <w:szCs w:val="21"/>
                    </w:rPr>
                    <w:t>Źródła finansowania</w:t>
                  </w:r>
                </w:p>
              </w:tc>
            </w:tr>
            <w:tr w:rsidR="008A6D23" w:rsidRPr="004E0F02" w14:paraId="547BE003" w14:textId="77777777" w:rsidTr="00CC3329">
              <w:trPr>
                <w:trHeight w:val="308"/>
                <w:jc w:val="center"/>
              </w:trPr>
              <w:tc>
                <w:tcPr>
                  <w:tcW w:w="497" w:type="dxa"/>
                  <w:vMerge w:val="restart"/>
                  <w:vAlign w:val="center"/>
                </w:tcPr>
                <w:p w14:paraId="0F41C3D3" w14:textId="77777777" w:rsidR="008A6D23" w:rsidRPr="004E0F02" w:rsidRDefault="008A6D23" w:rsidP="009A0D0F">
                  <w:pPr>
                    <w:ind w:hanging="37"/>
                    <w:jc w:val="both"/>
                    <w:rPr>
                      <w:sz w:val="21"/>
                      <w:szCs w:val="21"/>
                    </w:rPr>
                  </w:pPr>
                  <w:r w:rsidRPr="004E0F02">
                    <w:rPr>
                      <w:sz w:val="21"/>
                      <w:szCs w:val="21"/>
                    </w:rPr>
                    <w:t xml:space="preserve"> 0 </w:t>
                  </w:r>
                </w:p>
              </w:tc>
              <w:tc>
                <w:tcPr>
                  <w:tcW w:w="850" w:type="dxa"/>
                  <w:vMerge w:val="restart"/>
                  <w:vAlign w:val="center"/>
                </w:tcPr>
                <w:p w14:paraId="69021CFD" w14:textId="77777777" w:rsidR="008A6D23" w:rsidRPr="004E0F02" w:rsidRDefault="008A6D23" w:rsidP="009A0D0F">
                  <w:pPr>
                    <w:jc w:val="both"/>
                    <w:rPr>
                      <w:sz w:val="21"/>
                      <w:szCs w:val="21"/>
                    </w:rPr>
                  </w:pPr>
                  <w:r w:rsidRPr="004E0F02">
                    <w:rPr>
                      <w:sz w:val="21"/>
                      <w:szCs w:val="21"/>
                    </w:rPr>
                    <w:t>2021 r.</w:t>
                  </w:r>
                </w:p>
              </w:tc>
              <w:tc>
                <w:tcPr>
                  <w:tcW w:w="1706" w:type="dxa"/>
                  <w:vMerge w:val="restart"/>
                  <w:vAlign w:val="center"/>
                </w:tcPr>
                <w:p w14:paraId="111EFD9D" w14:textId="77777777" w:rsidR="008A6D23" w:rsidRPr="004E0F02" w:rsidRDefault="008A6D23" w:rsidP="009A0D0F">
                  <w:pPr>
                    <w:ind w:left="-103"/>
                    <w:jc w:val="center"/>
                    <w:rPr>
                      <w:sz w:val="21"/>
                      <w:szCs w:val="21"/>
                    </w:rPr>
                  </w:pPr>
                  <w:r w:rsidRPr="004E0F02">
                    <w:rPr>
                      <w:sz w:val="21"/>
                      <w:szCs w:val="21"/>
                    </w:rPr>
                    <w:t>2,21</w:t>
                  </w:r>
                </w:p>
              </w:tc>
              <w:tc>
                <w:tcPr>
                  <w:tcW w:w="4111" w:type="dxa"/>
                  <w:gridSpan w:val="2"/>
                  <w:vAlign w:val="center"/>
                </w:tcPr>
                <w:p w14:paraId="6CF4327E" w14:textId="64A6246B" w:rsidR="008A6D23" w:rsidRPr="004E0F02" w:rsidRDefault="008A6D23" w:rsidP="008A6D23">
                  <w:pPr>
                    <w:rPr>
                      <w:sz w:val="21"/>
                      <w:szCs w:val="21"/>
                    </w:rPr>
                  </w:pPr>
                  <w:r w:rsidRPr="004E0F02">
                    <w:rPr>
                      <w:sz w:val="21"/>
                      <w:szCs w:val="21"/>
                    </w:rPr>
                    <w:t xml:space="preserve">Projekt </w:t>
                  </w:r>
                  <w:r w:rsidR="00E45B1D" w:rsidRPr="004E0F02">
                    <w:rPr>
                      <w:sz w:val="21"/>
                      <w:szCs w:val="21"/>
                    </w:rPr>
                    <w:t>„</w:t>
                  </w:r>
                  <w:r w:rsidRPr="004E0F02">
                    <w:rPr>
                      <w:sz w:val="21"/>
                      <w:szCs w:val="21"/>
                    </w:rPr>
                    <w:t>Otwarte de plus</w:t>
                  </w:r>
                  <w:r w:rsidR="00E45B1D" w:rsidRPr="004E0F02">
                    <w:rPr>
                      <w:sz w:val="21"/>
                      <w:szCs w:val="21"/>
                    </w:rPr>
                    <w:t>”</w:t>
                  </w:r>
                </w:p>
                <w:p w14:paraId="6F421065" w14:textId="0D8763DA" w:rsidR="008A6D23" w:rsidRPr="004E0F02" w:rsidRDefault="008A6D23" w:rsidP="008A6D23">
                  <w:pPr>
                    <w:rPr>
                      <w:sz w:val="21"/>
                      <w:szCs w:val="21"/>
                    </w:rPr>
                  </w:pPr>
                  <w:r w:rsidRPr="004E0F02">
                    <w:rPr>
                      <w:sz w:val="21"/>
                      <w:szCs w:val="21"/>
                    </w:rPr>
                    <w:t>POPC.02.03.0</w:t>
                  </w:r>
                  <w:r w:rsidR="00E45B1D" w:rsidRPr="004E0F02">
                    <w:rPr>
                      <w:sz w:val="21"/>
                      <w:szCs w:val="21"/>
                    </w:rPr>
                    <w:t>1 </w:t>
                  </w:r>
                  <w:r w:rsidRPr="004E0F02">
                    <w:rPr>
                      <w:sz w:val="21"/>
                      <w:szCs w:val="21"/>
                    </w:rPr>
                    <w:t>0</w:t>
                  </w:r>
                  <w:r w:rsidR="00E45B1D" w:rsidRPr="004E0F02">
                    <w:rPr>
                      <w:sz w:val="21"/>
                      <w:szCs w:val="21"/>
                    </w:rPr>
                    <w:t>0 </w:t>
                  </w:r>
                  <w:r w:rsidRPr="004E0F02">
                    <w:rPr>
                      <w:sz w:val="21"/>
                      <w:szCs w:val="21"/>
                    </w:rPr>
                    <w:t>0064/1</w:t>
                  </w:r>
                  <w:r w:rsidR="00E45B1D" w:rsidRPr="004E0F02">
                    <w:rPr>
                      <w:sz w:val="21"/>
                      <w:szCs w:val="21"/>
                    </w:rPr>
                    <w:t>8 </w:t>
                  </w:r>
                  <w:r w:rsidRPr="004E0F02">
                    <w:rPr>
                      <w:sz w:val="21"/>
                      <w:szCs w:val="21"/>
                    </w:rPr>
                    <w:t>00</w:t>
                  </w:r>
                </w:p>
              </w:tc>
            </w:tr>
            <w:tr w:rsidR="00CE2D18" w:rsidRPr="004E0F02" w14:paraId="3F364CB9" w14:textId="77777777" w:rsidTr="002A0B04">
              <w:trPr>
                <w:trHeight w:val="703"/>
                <w:jc w:val="center"/>
              </w:trPr>
              <w:tc>
                <w:tcPr>
                  <w:tcW w:w="497" w:type="dxa"/>
                  <w:vMerge/>
                </w:tcPr>
                <w:p w14:paraId="2F4DAD88" w14:textId="77777777" w:rsidR="00CE2D18" w:rsidRPr="004E0F02" w:rsidRDefault="00CE2D18" w:rsidP="009A0D0F">
                  <w:pPr>
                    <w:ind w:hanging="37"/>
                    <w:jc w:val="both"/>
                    <w:rPr>
                      <w:sz w:val="21"/>
                      <w:szCs w:val="21"/>
                    </w:rPr>
                  </w:pPr>
                </w:p>
              </w:tc>
              <w:tc>
                <w:tcPr>
                  <w:tcW w:w="850" w:type="dxa"/>
                  <w:vMerge/>
                </w:tcPr>
                <w:p w14:paraId="5206F719" w14:textId="77777777" w:rsidR="00CE2D18" w:rsidRPr="004E0F02" w:rsidRDefault="00CE2D18" w:rsidP="009A0D0F">
                  <w:pPr>
                    <w:jc w:val="both"/>
                    <w:rPr>
                      <w:sz w:val="21"/>
                      <w:szCs w:val="21"/>
                    </w:rPr>
                  </w:pPr>
                </w:p>
              </w:tc>
              <w:tc>
                <w:tcPr>
                  <w:tcW w:w="1706" w:type="dxa"/>
                  <w:vMerge/>
                  <w:vAlign w:val="center"/>
                </w:tcPr>
                <w:p w14:paraId="704258DD" w14:textId="77777777" w:rsidR="00CE2D18" w:rsidRPr="004E0F02" w:rsidRDefault="00CE2D18" w:rsidP="009A0D0F">
                  <w:pPr>
                    <w:ind w:left="-103"/>
                    <w:jc w:val="center"/>
                    <w:rPr>
                      <w:sz w:val="21"/>
                      <w:szCs w:val="21"/>
                    </w:rPr>
                  </w:pPr>
                </w:p>
              </w:tc>
              <w:tc>
                <w:tcPr>
                  <w:tcW w:w="1927" w:type="dxa"/>
                </w:tcPr>
                <w:p w14:paraId="3C580DDF" w14:textId="77777777" w:rsidR="00CC3329" w:rsidRPr="004E0F02" w:rsidRDefault="00CC3329" w:rsidP="003265D1">
                  <w:pPr>
                    <w:rPr>
                      <w:sz w:val="21"/>
                      <w:szCs w:val="21"/>
                    </w:rPr>
                  </w:pPr>
                </w:p>
                <w:p w14:paraId="1918F9F5" w14:textId="77777777" w:rsidR="00CE2D18" w:rsidRPr="004E0F02" w:rsidRDefault="008A6D23" w:rsidP="003265D1">
                  <w:pPr>
                    <w:rPr>
                      <w:sz w:val="21"/>
                      <w:szCs w:val="21"/>
                    </w:rPr>
                  </w:pPr>
                  <w:r w:rsidRPr="004E0F02">
                    <w:rPr>
                      <w:sz w:val="21"/>
                      <w:szCs w:val="21"/>
                    </w:rPr>
                    <w:t xml:space="preserve">Wkład UE: </w:t>
                  </w:r>
                  <w:r w:rsidR="00CE2D18" w:rsidRPr="004E0F02">
                    <w:rPr>
                      <w:sz w:val="21"/>
                      <w:szCs w:val="21"/>
                    </w:rPr>
                    <w:t xml:space="preserve">84,63% </w:t>
                  </w:r>
                </w:p>
              </w:tc>
              <w:tc>
                <w:tcPr>
                  <w:tcW w:w="2184" w:type="dxa"/>
                  <w:vAlign w:val="center"/>
                </w:tcPr>
                <w:p w14:paraId="6E39EC97" w14:textId="77777777" w:rsidR="00CE2D18" w:rsidRPr="004E0F02" w:rsidRDefault="008A6D23" w:rsidP="009A0D0F">
                  <w:pPr>
                    <w:rPr>
                      <w:sz w:val="21"/>
                      <w:szCs w:val="21"/>
                    </w:rPr>
                  </w:pPr>
                  <w:r w:rsidRPr="004E0F02">
                    <w:rPr>
                      <w:sz w:val="21"/>
                      <w:szCs w:val="21"/>
                    </w:rPr>
                    <w:t>Wkład krajowy:</w:t>
                  </w:r>
                  <w:r w:rsidR="00CC3329" w:rsidRPr="004E0F02">
                    <w:rPr>
                      <w:sz w:val="21"/>
                      <w:szCs w:val="21"/>
                    </w:rPr>
                    <w:t xml:space="preserve"> </w:t>
                  </w:r>
                  <w:r w:rsidRPr="004E0F02">
                    <w:rPr>
                      <w:sz w:val="21"/>
                      <w:szCs w:val="21"/>
                    </w:rPr>
                    <w:t xml:space="preserve">15,37% </w:t>
                  </w:r>
                </w:p>
              </w:tc>
            </w:tr>
            <w:tr w:rsidR="00CE2D18" w:rsidRPr="004E0F02" w14:paraId="378A59D6" w14:textId="77777777" w:rsidTr="00CC3329">
              <w:trPr>
                <w:jc w:val="center"/>
              </w:trPr>
              <w:tc>
                <w:tcPr>
                  <w:tcW w:w="497" w:type="dxa"/>
                </w:tcPr>
                <w:p w14:paraId="212A3664" w14:textId="77777777" w:rsidR="00CE2D18" w:rsidRPr="004E0F02" w:rsidRDefault="00AF626C" w:rsidP="009A0D0F">
                  <w:pPr>
                    <w:jc w:val="both"/>
                    <w:rPr>
                      <w:sz w:val="21"/>
                      <w:szCs w:val="21"/>
                    </w:rPr>
                  </w:pPr>
                  <w:r w:rsidRPr="004E0F02">
                    <w:rPr>
                      <w:sz w:val="21"/>
                      <w:szCs w:val="21"/>
                    </w:rPr>
                    <w:t>1 </w:t>
                  </w:r>
                </w:p>
              </w:tc>
              <w:tc>
                <w:tcPr>
                  <w:tcW w:w="850" w:type="dxa"/>
                </w:tcPr>
                <w:p w14:paraId="6B75645B" w14:textId="77777777" w:rsidR="00CE2D18" w:rsidRPr="004E0F02" w:rsidRDefault="00CE2D18" w:rsidP="009A0D0F">
                  <w:pPr>
                    <w:jc w:val="both"/>
                    <w:rPr>
                      <w:sz w:val="21"/>
                      <w:szCs w:val="21"/>
                    </w:rPr>
                  </w:pPr>
                  <w:r w:rsidRPr="004E0F02">
                    <w:rPr>
                      <w:sz w:val="21"/>
                      <w:szCs w:val="21"/>
                    </w:rPr>
                    <w:t>202</w:t>
                  </w:r>
                  <w:r w:rsidR="00AF626C" w:rsidRPr="004E0F02">
                    <w:rPr>
                      <w:sz w:val="21"/>
                      <w:szCs w:val="21"/>
                    </w:rPr>
                    <w:t>2 </w:t>
                  </w:r>
                  <w:r w:rsidRPr="004E0F02">
                    <w:rPr>
                      <w:sz w:val="21"/>
                      <w:szCs w:val="21"/>
                    </w:rPr>
                    <w:t>r.</w:t>
                  </w:r>
                </w:p>
              </w:tc>
              <w:tc>
                <w:tcPr>
                  <w:tcW w:w="1706" w:type="dxa"/>
                </w:tcPr>
                <w:p w14:paraId="1197E295" w14:textId="77777777" w:rsidR="00CE2D18" w:rsidRPr="004E0F02" w:rsidRDefault="00CE2D18" w:rsidP="009A0D0F">
                  <w:pPr>
                    <w:jc w:val="center"/>
                    <w:rPr>
                      <w:sz w:val="21"/>
                      <w:szCs w:val="21"/>
                    </w:rPr>
                  </w:pPr>
                  <w:r w:rsidRPr="004E0F02">
                    <w:rPr>
                      <w:sz w:val="21"/>
                      <w:szCs w:val="21"/>
                    </w:rPr>
                    <w:t>0,625</w:t>
                  </w:r>
                </w:p>
              </w:tc>
              <w:tc>
                <w:tcPr>
                  <w:tcW w:w="4111" w:type="dxa"/>
                  <w:gridSpan w:val="2"/>
                  <w:vMerge w:val="restart"/>
                  <w:vAlign w:val="center"/>
                </w:tcPr>
                <w:p w14:paraId="0ADC3AC9" w14:textId="77777777" w:rsidR="00CE2D18" w:rsidRPr="004E0F02" w:rsidRDefault="00CE2D18" w:rsidP="009A0D0F">
                  <w:pPr>
                    <w:rPr>
                      <w:sz w:val="21"/>
                      <w:szCs w:val="21"/>
                    </w:rPr>
                  </w:pPr>
                </w:p>
                <w:p w14:paraId="3DC7DD87" w14:textId="3ACD0BC3" w:rsidR="00CE2D18" w:rsidRPr="004E0F02" w:rsidRDefault="00CE2D18" w:rsidP="00633AF9">
                  <w:pPr>
                    <w:rPr>
                      <w:sz w:val="21"/>
                      <w:szCs w:val="21"/>
                    </w:rPr>
                  </w:pPr>
                  <w:r w:rsidRPr="004E0F02">
                    <w:rPr>
                      <w:sz w:val="21"/>
                      <w:szCs w:val="21"/>
                    </w:rPr>
                    <w:t xml:space="preserve">Budżet państwa/nowy projekt realizowany ze środków Unii Europejskiej </w:t>
                  </w:r>
                </w:p>
              </w:tc>
            </w:tr>
            <w:tr w:rsidR="00CE2D18" w:rsidRPr="004E0F02" w14:paraId="5170BA48" w14:textId="77777777" w:rsidTr="00CC3329">
              <w:trPr>
                <w:jc w:val="center"/>
              </w:trPr>
              <w:tc>
                <w:tcPr>
                  <w:tcW w:w="497" w:type="dxa"/>
                </w:tcPr>
                <w:p w14:paraId="51A53FC2" w14:textId="77777777" w:rsidR="00CE2D18" w:rsidRPr="004E0F02" w:rsidRDefault="00AF626C" w:rsidP="009A0D0F">
                  <w:pPr>
                    <w:jc w:val="both"/>
                    <w:rPr>
                      <w:sz w:val="21"/>
                      <w:szCs w:val="21"/>
                    </w:rPr>
                  </w:pPr>
                  <w:r w:rsidRPr="004E0F02">
                    <w:rPr>
                      <w:sz w:val="21"/>
                      <w:szCs w:val="21"/>
                    </w:rPr>
                    <w:t>2 </w:t>
                  </w:r>
                </w:p>
              </w:tc>
              <w:tc>
                <w:tcPr>
                  <w:tcW w:w="850" w:type="dxa"/>
                </w:tcPr>
                <w:p w14:paraId="4B8BC739" w14:textId="77777777" w:rsidR="00CE2D18" w:rsidRPr="004E0F02" w:rsidRDefault="00CE2D18" w:rsidP="009A0D0F">
                  <w:pPr>
                    <w:jc w:val="both"/>
                    <w:rPr>
                      <w:sz w:val="21"/>
                      <w:szCs w:val="21"/>
                    </w:rPr>
                  </w:pPr>
                  <w:r w:rsidRPr="004E0F02">
                    <w:rPr>
                      <w:sz w:val="21"/>
                      <w:szCs w:val="21"/>
                    </w:rPr>
                    <w:t>202</w:t>
                  </w:r>
                  <w:r w:rsidR="00AF626C" w:rsidRPr="004E0F02">
                    <w:rPr>
                      <w:sz w:val="21"/>
                      <w:szCs w:val="21"/>
                    </w:rPr>
                    <w:t>3 </w:t>
                  </w:r>
                  <w:r w:rsidRPr="004E0F02">
                    <w:rPr>
                      <w:sz w:val="21"/>
                      <w:szCs w:val="21"/>
                    </w:rPr>
                    <w:t>r.</w:t>
                  </w:r>
                </w:p>
              </w:tc>
              <w:tc>
                <w:tcPr>
                  <w:tcW w:w="1706" w:type="dxa"/>
                  <w:vAlign w:val="center"/>
                </w:tcPr>
                <w:p w14:paraId="4C66B610" w14:textId="77777777" w:rsidR="00CE2D18" w:rsidRPr="004E0F02" w:rsidRDefault="00CE2D18" w:rsidP="009A0D0F">
                  <w:pPr>
                    <w:jc w:val="center"/>
                    <w:rPr>
                      <w:sz w:val="21"/>
                      <w:szCs w:val="21"/>
                    </w:rPr>
                  </w:pPr>
                  <w:r w:rsidRPr="004E0F02">
                    <w:rPr>
                      <w:sz w:val="21"/>
                      <w:szCs w:val="21"/>
                    </w:rPr>
                    <w:t>0,625</w:t>
                  </w:r>
                </w:p>
              </w:tc>
              <w:tc>
                <w:tcPr>
                  <w:tcW w:w="4111" w:type="dxa"/>
                  <w:gridSpan w:val="2"/>
                  <w:vMerge/>
                  <w:vAlign w:val="center"/>
                </w:tcPr>
                <w:p w14:paraId="1B637448" w14:textId="77777777" w:rsidR="00CE2D18" w:rsidRPr="004E0F02" w:rsidRDefault="00CE2D18" w:rsidP="009A0D0F">
                  <w:pPr>
                    <w:rPr>
                      <w:sz w:val="21"/>
                      <w:szCs w:val="21"/>
                    </w:rPr>
                  </w:pPr>
                </w:p>
              </w:tc>
            </w:tr>
            <w:tr w:rsidR="00CE2D18" w:rsidRPr="004E0F02" w14:paraId="5F696021" w14:textId="77777777" w:rsidTr="00CC3329">
              <w:trPr>
                <w:jc w:val="center"/>
              </w:trPr>
              <w:tc>
                <w:tcPr>
                  <w:tcW w:w="497" w:type="dxa"/>
                </w:tcPr>
                <w:p w14:paraId="6CA74AF9" w14:textId="77777777" w:rsidR="00CE2D18" w:rsidRPr="004E0F02" w:rsidRDefault="00CE2D18" w:rsidP="009A0D0F">
                  <w:pPr>
                    <w:jc w:val="both"/>
                    <w:rPr>
                      <w:sz w:val="21"/>
                      <w:szCs w:val="21"/>
                    </w:rPr>
                  </w:pPr>
                  <w:r w:rsidRPr="004E0F02">
                    <w:rPr>
                      <w:sz w:val="21"/>
                      <w:szCs w:val="21"/>
                    </w:rPr>
                    <w:t>3</w:t>
                  </w:r>
                </w:p>
              </w:tc>
              <w:tc>
                <w:tcPr>
                  <w:tcW w:w="850" w:type="dxa"/>
                </w:tcPr>
                <w:p w14:paraId="68F42518" w14:textId="77777777" w:rsidR="00CE2D18" w:rsidRPr="004E0F02" w:rsidRDefault="00CE2D18" w:rsidP="009A0D0F">
                  <w:pPr>
                    <w:jc w:val="both"/>
                    <w:rPr>
                      <w:sz w:val="21"/>
                      <w:szCs w:val="21"/>
                    </w:rPr>
                  </w:pPr>
                  <w:r w:rsidRPr="004E0F02">
                    <w:rPr>
                      <w:sz w:val="21"/>
                      <w:szCs w:val="21"/>
                    </w:rPr>
                    <w:t>202</w:t>
                  </w:r>
                  <w:r w:rsidR="00AF626C" w:rsidRPr="004E0F02">
                    <w:rPr>
                      <w:sz w:val="21"/>
                      <w:szCs w:val="21"/>
                    </w:rPr>
                    <w:t>4 </w:t>
                  </w:r>
                  <w:r w:rsidRPr="004E0F02">
                    <w:rPr>
                      <w:sz w:val="21"/>
                      <w:szCs w:val="21"/>
                    </w:rPr>
                    <w:t>r.</w:t>
                  </w:r>
                </w:p>
              </w:tc>
              <w:tc>
                <w:tcPr>
                  <w:tcW w:w="1706" w:type="dxa"/>
                </w:tcPr>
                <w:p w14:paraId="7940069F" w14:textId="77777777" w:rsidR="00CE2D18" w:rsidRPr="004E0F02" w:rsidRDefault="00CE2D18" w:rsidP="009A0D0F">
                  <w:pPr>
                    <w:jc w:val="center"/>
                    <w:rPr>
                      <w:sz w:val="21"/>
                      <w:szCs w:val="21"/>
                    </w:rPr>
                  </w:pPr>
                  <w:r w:rsidRPr="004E0F02">
                    <w:rPr>
                      <w:sz w:val="21"/>
                      <w:szCs w:val="21"/>
                    </w:rPr>
                    <w:t>0,625</w:t>
                  </w:r>
                </w:p>
              </w:tc>
              <w:tc>
                <w:tcPr>
                  <w:tcW w:w="4111" w:type="dxa"/>
                  <w:gridSpan w:val="2"/>
                  <w:vMerge/>
                </w:tcPr>
                <w:p w14:paraId="284AFA19" w14:textId="77777777" w:rsidR="00CE2D18" w:rsidRPr="004E0F02" w:rsidRDefault="00CE2D18" w:rsidP="009A0D0F">
                  <w:pPr>
                    <w:jc w:val="both"/>
                    <w:rPr>
                      <w:sz w:val="21"/>
                      <w:szCs w:val="21"/>
                    </w:rPr>
                  </w:pPr>
                </w:p>
              </w:tc>
            </w:tr>
            <w:tr w:rsidR="00CE2D18" w:rsidRPr="004E0F02" w14:paraId="7B5B9EF5" w14:textId="77777777" w:rsidTr="00CC3329">
              <w:trPr>
                <w:jc w:val="center"/>
              </w:trPr>
              <w:tc>
                <w:tcPr>
                  <w:tcW w:w="497" w:type="dxa"/>
                </w:tcPr>
                <w:p w14:paraId="6899C407" w14:textId="77777777" w:rsidR="00CE2D18" w:rsidRPr="004E0F02" w:rsidRDefault="00CE2D18" w:rsidP="009A0D0F">
                  <w:pPr>
                    <w:jc w:val="both"/>
                    <w:rPr>
                      <w:sz w:val="21"/>
                      <w:szCs w:val="21"/>
                    </w:rPr>
                  </w:pPr>
                  <w:r w:rsidRPr="004E0F02">
                    <w:rPr>
                      <w:sz w:val="21"/>
                      <w:szCs w:val="21"/>
                    </w:rPr>
                    <w:t>4</w:t>
                  </w:r>
                </w:p>
              </w:tc>
              <w:tc>
                <w:tcPr>
                  <w:tcW w:w="850" w:type="dxa"/>
                </w:tcPr>
                <w:p w14:paraId="6E022BEA" w14:textId="77777777" w:rsidR="00CE2D18" w:rsidRPr="004E0F02" w:rsidRDefault="00CE2D18" w:rsidP="009A0D0F">
                  <w:pPr>
                    <w:jc w:val="both"/>
                    <w:rPr>
                      <w:sz w:val="21"/>
                      <w:szCs w:val="21"/>
                    </w:rPr>
                  </w:pPr>
                  <w:r w:rsidRPr="004E0F02">
                    <w:rPr>
                      <w:sz w:val="21"/>
                      <w:szCs w:val="21"/>
                    </w:rPr>
                    <w:t>202</w:t>
                  </w:r>
                  <w:r w:rsidR="00AF626C" w:rsidRPr="004E0F02">
                    <w:rPr>
                      <w:sz w:val="21"/>
                      <w:szCs w:val="21"/>
                    </w:rPr>
                    <w:t>5 </w:t>
                  </w:r>
                  <w:r w:rsidRPr="004E0F02">
                    <w:rPr>
                      <w:sz w:val="21"/>
                      <w:szCs w:val="21"/>
                    </w:rPr>
                    <w:t>r.</w:t>
                  </w:r>
                </w:p>
              </w:tc>
              <w:tc>
                <w:tcPr>
                  <w:tcW w:w="1706" w:type="dxa"/>
                </w:tcPr>
                <w:p w14:paraId="645B9502" w14:textId="77777777" w:rsidR="00CE2D18" w:rsidRPr="004E0F02" w:rsidRDefault="00CE2D18" w:rsidP="009A0D0F">
                  <w:pPr>
                    <w:jc w:val="center"/>
                    <w:rPr>
                      <w:sz w:val="21"/>
                      <w:szCs w:val="21"/>
                    </w:rPr>
                  </w:pPr>
                  <w:r w:rsidRPr="004E0F02">
                    <w:rPr>
                      <w:sz w:val="21"/>
                      <w:szCs w:val="21"/>
                    </w:rPr>
                    <w:t>0,625</w:t>
                  </w:r>
                </w:p>
              </w:tc>
              <w:tc>
                <w:tcPr>
                  <w:tcW w:w="4111" w:type="dxa"/>
                  <w:gridSpan w:val="2"/>
                  <w:vMerge/>
                </w:tcPr>
                <w:p w14:paraId="2870683C" w14:textId="77777777" w:rsidR="00CE2D18" w:rsidRPr="004E0F02" w:rsidRDefault="00CE2D18" w:rsidP="009A0D0F">
                  <w:pPr>
                    <w:jc w:val="both"/>
                    <w:rPr>
                      <w:sz w:val="21"/>
                      <w:szCs w:val="21"/>
                    </w:rPr>
                  </w:pPr>
                </w:p>
              </w:tc>
            </w:tr>
            <w:tr w:rsidR="00CE2D18" w:rsidRPr="004E0F02" w14:paraId="35E86907" w14:textId="77777777" w:rsidTr="00CC3329">
              <w:trPr>
                <w:jc w:val="center"/>
              </w:trPr>
              <w:tc>
                <w:tcPr>
                  <w:tcW w:w="497" w:type="dxa"/>
                </w:tcPr>
                <w:p w14:paraId="04EE230E" w14:textId="77777777" w:rsidR="00CE2D18" w:rsidRPr="004E0F02" w:rsidRDefault="00CE2D18" w:rsidP="009A0D0F">
                  <w:pPr>
                    <w:jc w:val="both"/>
                    <w:rPr>
                      <w:sz w:val="21"/>
                      <w:szCs w:val="21"/>
                    </w:rPr>
                  </w:pPr>
                  <w:r w:rsidRPr="004E0F02">
                    <w:rPr>
                      <w:sz w:val="21"/>
                      <w:szCs w:val="21"/>
                    </w:rPr>
                    <w:t>5</w:t>
                  </w:r>
                </w:p>
              </w:tc>
              <w:tc>
                <w:tcPr>
                  <w:tcW w:w="850" w:type="dxa"/>
                </w:tcPr>
                <w:p w14:paraId="3EC381EA" w14:textId="77777777" w:rsidR="00CE2D18" w:rsidRPr="004E0F02" w:rsidRDefault="00CE2D18" w:rsidP="009A0D0F">
                  <w:pPr>
                    <w:jc w:val="both"/>
                    <w:rPr>
                      <w:sz w:val="21"/>
                      <w:szCs w:val="21"/>
                    </w:rPr>
                  </w:pPr>
                  <w:r w:rsidRPr="004E0F02">
                    <w:rPr>
                      <w:sz w:val="21"/>
                      <w:szCs w:val="21"/>
                    </w:rPr>
                    <w:t>202</w:t>
                  </w:r>
                  <w:r w:rsidR="00AF626C" w:rsidRPr="004E0F02">
                    <w:rPr>
                      <w:sz w:val="21"/>
                      <w:szCs w:val="21"/>
                    </w:rPr>
                    <w:t>6 </w:t>
                  </w:r>
                  <w:r w:rsidRPr="004E0F02">
                    <w:rPr>
                      <w:sz w:val="21"/>
                      <w:szCs w:val="21"/>
                    </w:rPr>
                    <w:t>r.</w:t>
                  </w:r>
                </w:p>
              </w:tc>
              <w:tc>
                <w:tcPr>
                  <w:tcW w:w="1706" w:type="dxa"/>
                </w:tcPr>
                <w:p w14:paraId="6D5BBFD4" w14:textId="77777777" w:rsidR="00CE2D18" w:rsidRPr="004E0F02" w:rsidRDefault="00CE2D18" w:rsidP="009A0D0F">
                  <w:pPr>
                    <w:jc w:val="center"/>
                    <w:rPr>
                      <w:sz w:val="21"/>
                      <w:szCs w:val="21"/>
                    </w:rPr>
                  </w:pPr>
                  <w:r w:rsidRPr="004E0F02">
                    <w:rPr>
                      <w:sz w:val="21"/>
                      <w:szCs w:val="21"/>
                    </w:rPr>
                    <w:t>0,625</w:t>
                  </w:r>
                </w:p>
              </w:tc>
              <w:tc>
                <w:tcPr>
                  <w:tcW w:w="4111" w:type="dxa"/>
                  <w:gridSpan w:val="2"/>
                  <w:vMerge/>
                </w:tcPr>
                <w:p w14:paraId="73DB0F57" w14:textId="77777777" w:rsidR="00CE2D18" w:rsidRPr="004E0F02" w:rsidRDefault="00CE2D18" w:rsidP="009A0D0F">
                  <w:pPr>
                    <w:jc w:val="both"/>
                    <w:rPr>
                      <w:sz w:val="21"/>
                      <w:szCs w:val="21"/>
                    </w:rPr>
                  </w:pPr>
                </w:p>
              </w:tc>
            </w:tr>
            <w:tr w:rsidR="00CE2D18" w:rsidRPr="004E0F02" w14:paraId="421D5CB6" w14:textId="77777777" w:rsidTr="00CC3329">
              <w:trPr>
                <w:jc w:val="center"/>
              </w:trPr>
              <w:tc>
                <w:tcPr>
                  <w:tcW w:w="497" w:type="dxa"/>
                </w:tcPr>
                <w:p w14:paraId="30120517" w14:textId="77777777" w:rsidR="00CE2D18" w:rsidRPr="004E0F02" w:rsidRDefault="00CE2D18" w:rsidP="009A0D0F">
                  <w:pPr>
                    <w:jc w:val="both"/>
                    <w:rPr>
                      <w:sz w:val="21"/>
                      <w:szCs w:val="21"/>
                    </w:rPr>
                  </w:pPr>
                  <w:r w:rsidRPr="004E0F02">
                    <w:rPr>
                      <w:sz w:val="21"/>
                      <w:szCs w:val="21"/>
                    </w:rPr>
                    <w:t>6</w:t>
                  </w:r>
                </w:p>
              </w:tc>
              <w:tc>
                <w:tcPr>
                  <w:tcW w:w="850" w:type="dxa"/>
                </w:tcPr>
                <w:p w14:paraId="3E5A0B23" w14:textId="77777777" w:rsidR="00CE2D18" w:rsidRPr="004E0F02" w:rsidRDefault="00CE2D18" w:rsidP="009A0D0F">
                  <w:pPr>
                    <w:jc w:val="both"/>
                    <w:rPr>
                      <w:sz w:val="21"/>
                      <w:szCs w:val="21"/>
                    </w:rPr>
                  </w:pPr>
                  <w:r w:rsidRPr="004E0F02">
                    <w:rPr>
                      <w:sz w:val="21"/>
                      <w:szCs w:val="21"/>
                    </w:rPr>
                    <w:t>202</w:t>
                  </w:r>
                  <w:r w:rsidR="00AF626C" w:rsidRPr="004E0F02">
                    <w:rPr>
                      <w:sz w:val="21"/>
                      <w:szCs w:val="21"/>
                    </w:rPr>
                    <w:t>7 </w:t>
                  </w:r>
                  <w:r w:rsidRPr="004E0F02">
                    <w:rPr>
                      <w:sz w:val="21"/>
                      <w:szCs w:val="21"/>
                    </w:rPr>
                    <w:t>r.</w:t>
                  </w:r>
                </w:p>
              </w:tc>
              <w:tc>
                <w:tcPr>
                  <w:tcW w:w="1706" w:type="dxa"/>
                </w:tcPr>
                <w:p w14:paraId="1F6A1801" w14:textId="77777777" w:rsidR="00CE2D18" w:rsidRPr="004E0F02" w:rsidRDefault="00CE2D18" w:rsidP="009A0D0F">
                  <w:pPr>
                    <w:jc w:val="center"/>
                    <w:rPr>
                      <w:sz w:val="21"/>
                      <w:szCs w:val="21"/>
                    </w:rPr>
                  </w:pPr>
                  <w:r w:rsidRPr="004E0F02">
                    <w:rPr>
                      <w:sz w:val="21"/>
                      <w:szCs w:val="21"/>
                    </w:rPr>
                    <w:t>0,625</w:t>
                  </w:r>
                </w:p>
              </w:tc>
              <w:tc>
                <w:tcPr>
                  <w:tcW w:w="4111" w:type="dxa"/>
                  <w:gridSpan w:val="2"/>
                  <w:vMerge/>
                </w:tcPr>
                <w:p w14:paraId="4427B37B" w14:textId="77777777" w:rsidR="00CE2D18" w:rsidRPr="004E0F02" w:rsidRDefault="00CE2D18" w:rsidP="009A0D0F">
                  <w:pPr>
                    <w:jc w:val="both"/>
                    <w:rPr>
                      <w:sz w:val="21"/>
                      <w:szCs w:val="21"/>
                    </w:rPr>
                  </w:pPr>
                </w:p>
              </w:tc>
            </w:tr>
            <w:tr w:rsidR="00CE2D18" w:rsidRPr="004E0F02" w14:paraId="608D657B" w14:textId="77777777" w:rsidTr="00CC3329">
              <w:trPr>
                <w:jc w:val="center"/>
              </w:trPr>
              <w:tc>
                <w:tcPr>
                  <w:tcW w:w="497" w:type="dxa"/>
                </w:tcPr>
                <w:p w14:paraId="7B7A8296" w14:textId="77777777" w:rsidR="00CE2D18" w:rsidRPr="004E0F02" w:rsidRDefault="00CE2D18" w:rsidP="009A0D0F">
                  <w:pPr>
                    <w:jc w:val="both"/>
                    <w:rPr>
                      <w:sz w:val="21"/>
                      <w:szCs w:val="21"/>
                    </w:rPr>
                  </w:pPr>
                  <w:r w:rsidRPr="004E0F02">
                    <w:rPr>
                      <w:sz w:val="21"/>
                      <w:szCs w:val="21"/>
                    </w:rPr>
                    <w:t>7</w:t>
                  </w:r>
                </w:p>
              </w:tc>
              <w:tc>
                <w:tcPr>
                  <w:tcW w:w="850" w:type="dxa"/>
                </w:tcPr>
                <w:p w14:paraId="25F0B7D8" w14:textId="77777777" w:rsidR="00CE2D18" w:rsidRPr="004E0F02" w:rsidRDefault="00CE2D18" w:rsidP="009A0D0F">
                  <w:pPr>
                    <w:jc w:val="both"/>
                    <w:rPr>
                      <w:sz w:val="21"/>
                      <w:szCs w:val="21"/>
                    </w:rPr>
                  </w:pPr>
                  <w:r w:rsidRPr="004E0F02">
                    <w:rPr>
                      <w:sz w:val="21"/>
                      <w:szCs w:val="21"/>
                    </w:rPr>
                    <w:t>202</w:t>
                  </w:r>
                  <w:r w:rsidR="00AF626C" w:rsidRPr="004E0F02">
                    <w:rPr>
                      <w:sz w:val="21"/>
                      <w:szCs w:val="21"/>
                    </w:rPr>
                    <w:t>8 </w:t>
                  </w:r>
                  <w:r w:rsidRPr="004E0F02">
                    <w:rPr>
                      <w:sz w:val="21"/>
                      <w:szCs w:val="21"/>
                    </w:rPr>
                    <w:t>r.</w:t>
                  </w:r>
                </w:p>
              </w:tc>
              <w:tc>
                <w:tcPr>
                  <w:tcW w:w="1706" w:type="dxa"/>
                </w:tcPr>
                <w:p w14:paraId="1EC99CFB" w14:textId="77777777" w:rsidR="00CE2D18" w:rsidRPr="004E0F02" w:rsidRDefault="00CE2D18" w:rsidP="009A0D0F">
                  <w:pPr>
                    <w:jc w:val="center"/>
                    <w:rPr>
                      <w:sz w:val="21"/>
                      <w:szCs w:val="21"/>
                    </w:rPr>
                  </w:pPr>
                  <w:r w:rsidRPr="004E0F02">
                    <w:rPr>
                      <w:sz w:val="21"/>
                      <w:szCs w:val="21"/>
                    </w:rPr>
                    <w:t>0,625</w:t>
                  </w:r>
                </w:p>
              </w:tc>
              <w:tc>
                <w:tcPr>
                  <w:tcW w:w="4111" w:type="dxa"/>
                  <w:gridSpan w:val="2"/>
                  <w:vMerge/>
                </w:tcPr>
                <w:p w14:paraId="379815E9" w14:textId="77777777" w:rsidR="00CE2D18" w:rsidRPr="004E0F02" w:rsidRDefault="00CE2D18" w:rsidP="009A0D0F">
                  <w:pPr>
                    <w:jc w:val="both"/>
                    <w:rPr>
                      <w:sz w:val="21"/>
                      <w:szCs w:val="21"/>
                    </w:rPr>
                  </w:pPr>
                </w:p>
              </w:tc>
            </w:tr>
            <w:tr w:rsidR="00CE2D18" w:rsidRPr="004E0F02" w14:paraId="0D11F8CE" w14:textId="77777777" w:rsidTr="00CC3329">
              <w:trPr>
                <w:jc w:val="center"/>
              </w:trPr>
              <w:tc>
                <w:tcPr>
                  <w:tcW w:w="497" w:type="dxa"/>
                </w:tcPr>
                <w:p w14:paraId="2B7B17B8" w14:textId="77777777" w:rsidR="00CE2D18" w:rsidRPr="004E0F02" w:rsidRDefault="00CE2D18" w:rsidP="009A0D0F">
                  <w:pPr>
                    <w:jc w:val="both"/>
                    <w:rPr>
                      <w:sz w:val="21"/>
                      <w:szCs w:val="21"/>
                    </w:rPr>
                  </w:pPr>
                  <w:r w:rsidRPr="004E0F02">
                    <w:rPr>
                      <w:sz w:val="21"/>
                      <w:szCs w:val="21"/>
                    </w:rPr>
                    <w:lastRenderedPageBreak/>
                    <w:t>8</w:t>
                  </w:r>
                </w:p>
              </w:tc>
              <w:tc>
                <w:tcPr>
                  <w:tcW w:w="850" w:type="dxa"/>
                </w:tcPr>
                <w:p w14:paraId="2C49C73C" w14:textId="77777777" w:rsidR="00CE2D18" w:rsidRPr="004E0F02" w:rsidRDefault="00CE2D18" w:rsidP="009A0D0F">
                  <w:pPr>
                    <w:jc w:val="both"/>
                    <w:rPr>
                      <w:sz w:val="21"/>
                      <w:szCs w:val="21"/>
                    </w:rPr>
                  </w:pPr>
                  <w:r w:rsidRPr="004E0F02">
                    <w:rPr>
                      <w:sz w:val="21"/>
                      <w:szCs w:val="21"/>
                    </w:rPr>
                    <w:t>202</w:t>
                  </w:r>
                  <w:r w:rsidR="00AF626C" w:rsidRPr="004E0F02">
                    <w:rPr>
                      <w:sz w:val="21"/>
                      <w:szCs w:val="21"/>
                    </w:rPr>
                    <w:t>9 </w:t>
                  </w:r>
                  <w:r w:rsidRPr="004E0F02">
                    <w:rPr>
                      <w:sz w:val="21"/>
                      <w:szCs w:val="21"/>
                    </w:rPr>
                    <w:t xml:space="preserve">r. </w:t>
                  </w:r>
                </w:p>
              </w:tc>
              <w:tc>
                <w:tcPr>
                  <w:tcW w:w="1706" w:type="dxa"/>
                </w:tcPr>
                <w:p w14:paraId="256D1706" w14:textId="77777777" w:rsidR="00CE2D18" w:rsidRPr="004E0F02" w:rsidRDefault="00CE2D18" w:rsidP="009A0D0F">
                  <w:pPr>
                    <w:jc w:val="center"/>
                    <w:rPr>
                      <w:sz w:val="21"/>
                      <w:szCs w:val="21"/>
                    </w:rPr>
                  </w:pPr>
                  <w:r w:rsidRPr="004E0F02">
                    <w:rPr>
                      <w:sz w:val="21"/>
                      <w:szCs w:val="21"/>
                    </w:rPr>
                    <w:t>0,625</w:t>
                  </w:r>
                </w:p>
              </w:tc>
              <w:tc>
                <w:tcPr>
                  <w:tcW w:w="4111" w:type="dxa"/>
                  <w:gridSpan w:val="2"/>
                  <w:vMerge/>
                </w:tcPr>
                <w:p w14:paraId="65190CEE" w14:textId="77777777" w:rsidR="00CE2D18" w:rsidRPr="004E0F02" w:rsidRDefault="00CE2D18" w:rsidP="009A0D0F">
                  <w:pPr>
                    <w:jc w:val="both"/>
                    <w:rPr>
                      <w:sz w:val="21"/>
                      <w:szCs w:val="21"/>
                    </w:rPr>
                  </w:pPr>
                </w:p>
              </w:tc>
            </w:tr>
            <w:tr w:rsidR="00CE2D18" w:rsidRPr="004E0F02" w14:paraId="1396B5B4" w14:textId="77777777" w:rsidTr="00CC3329">
              <w:trPr>
                <w:jc w:val="center"/>
              </w:trPr>
              <w:tc>
                <w:tcPr>
                  <w:tcW w:w="497" w:type="dxa"/>
                </w:tcPr>
                <w:p w14:paraId="0582B15C" w14:textId="77777777" w:rsidR="00CE2D18" w:rsidRPr="004E0F02" w:rsidRDefault="00CE2D18" w:rsidP="009A0D0F">
                  <w:pPr>
                    <w:jc w:val="both"/>
                    <w:rPr>
                      <w:sz w:val="21"/>
                      <w:szCs w:val="21"/>
                    </w:rPr>
                  </w:pPr>
                  <w:r w:rsidRPr="004E0F02">
                    <w:rPr>
                      <w:sz w:val="21"/>
                      <w:szCs w:val="21"/>
                    </w:rPr>
                    <w:t>9</w:t>
                  </w:r>
                </w:p>
              </w:tc>
              <w:tc>
                <w:tcPr>
                  <w:tcW w:w="850" w:type="dxa"/>
                </w:tcPr>
                <w:p w14:paraId="01DAC495" w14:textId="77777777" w:rsidR="00CE2D18" w:rsidRPr="004E0F02" w:rsidRDefault="00CE2D18" w:rsidP="009A0D0F">
                  <w:pPr>
                    <w:jc w:val="both"/>
                    <w:rPr>
                      <w:sz w:val="21"/>
                      <w:szCs w:val="21"/>
                    </w:rPr>
                  </w:pPr>
                  <w:r w:rsidRPr="004E0F02">
                    <w:rPr>
                      <w:sz w:val="21"/>
                      <w:szCs w:val="21"/>
                    </w:rPr>
                    <w:t>203</w:t>
                  </w:r>
                  <w:r w:rsidR="00AF626C" w:rsidRPr="004E0F02">
                    <w:rPr>
                      <w:sz w:val="21"/>
                      <w:szCs w:val="21"/>
                    </w:rPr>
                    <w:t>0 </w:t>
                  </w:r>
                  <w:r w:rsidRPr="004E0F02">
                    <w:rPr>
                      <w:sz w:val="21"/>
                      <w:szCs w:val="21"/>
                    </w:rPr>
                    <w:t>r.</w:t>
                  </w:r>
                </w:p>
              </w:tc>
              <w:tc>
                <w:tcPr>
                  <w:tcW w:w="1706" w:type="dxa"/>
                </w:tcPr>
                <w:p w14:paraId="40B43769" w14:textId="77777777" w:rsidR="00CE2D18" w:rsidRPr="004E0F02" w:rsidRDefault="00CE2D18" w:rsidP="009A0D0F">
                  <w:pPr>
                    <w:jc w:val="center"/>
                    <w:rPr>
                      <w:sz w:val="21"/>
                      <w:szCs w:val="21"/>
                    </w:rPr>
                  </w:pPr>
                  <w:r w:rsidRPr="004E0F02">
                    <w:rPr>
                      <w:sz w:val="21"/>
                      <w:szCs w:val="21"/>
                    </w:rPr>
                    <w:t>0,625</w:t>
                  </w:r>
                </w:p>
              </w:tc>
              <w:tc>
                <w:tcPr>
                  <w:tcW w:w="4111" w:type="dxa"/>
                  <w:gridSpan w:val="2"/>
                  <w:vMerge/>
                </w:tcPr>
                <w:p w14:paraId="5CBE8239" w14:textId="77777777" w:rsidR="00CE2D18" w:rsidRPr="004E0F02" w:rsidRDefault="00CE2D18" w:rsidP="009A0D0F">
                  <w:pPr>
                    <w:jc w:val="both"/>
                    <w:rPr>
                      <w:sz w:val="21"/>
                      <w:szCs w:val="21"/>
                    </w:rPr>
                  </w:pPr>
                </w:p>
              </w:tc>
            </w:tr>
            <w:tr w:rsidR="00CE2D18" w:rsidRPr="004E0F02" w14:paraId="4ED24EB4" w14:textId="77777777" w:rsidTr="00CC3329">
              <w:trPr>
                <w:jc w:val="center"/>
              </w:trPr>
              <w:tc>
                <w:tcPr>
                  <w:tcW w:w="497" w:type="dxa"/>
                </w:tcPr>
                <w:p w14:paraId="17C56A93" w14:textId="77777777" w:rsidR="00CE2D18" w:rsidRPr="004E0F02" w:rsidRDefault="00CE2D18" w:rsidP="009A0D0F">
                  <w:pPr>
                    <w:jc w:val="both"/>
                    <w:rPr>
                      <w:sz w:val="21"/>
                      <w:szCs w:val="21"/>
                    </w:rPr>
                  </w:pPr>
                  <w:r w:rsidRPr="004E0F02">
                    <w:rPr>
                      <w:sz w:val="21"/>
                      <w:szCs w:val="21"/>
                    </w:rPr>
                    <w:t>10</w:t>
                  </w:r>
                </w:p>
              </w:tc>
              <w:tc>
                <w:tcPr>
                  <w:tcW w:w="850" w:type="dxa"/>
                </w:tcPr>
                <w:p w14:paraId="0B963504" w14:textId="77777777" w:rsidR="00CE2D18" w:rsidRPr="004E0F02" w:rsidRDefault="00CE2D18" w:rsidP="009A0D0F">
                  <w:pPr>
                    <w:jc w:val="both"/>
                    <w:rPr>
                      <w:sz w:val="21"/>
                      <w:szCs w:val="21"/>
                    </w:rPr>
                  </w:pPr>
                  <w:r w:rsidRPr="004E0F02">
                    <w:rPr>
                      <w:sz w:val="21"/>
                      <w:szCs w:val="21"/>
                    </w:rPr>
                    <w:t>203</w:t>
                  </w:r>
                  <w:r w:rsidR="00AF626C" w:rsidRPr="004E0F02">
                    <w:rPr>
                      <w:sz w:val="21"/>
                      <w:szCs w:val="21"/>
                    </w:rPr>
                    <w:t>1 </w:t>
                  </w:r>
                  <w:r w:rsidRPr="004E0F02">
                    <w:rPr>
                      <w:sz w:val="21"/>
                      <w:szCs w:val="21"/>
                    </w:rPr>
                    <w:t>r.</w:t>
                  </w:r>
                </w:p>
              </w:tc>
              <w:tc>
                <w:tcPr>
                  <w:tcW w:w="1706" w:type="dxa"/>
                </w:tcPr>
                <w:p w14:paraId="1C7C82FE" w14:textId="77777777" w:rsidR="00CE2D18" w:rsidRPr="004E0F02" w:rsidRDefault="00CE2D18" w:rsidP="009A0D0F">
                  <w:pPr>
                    <w:jc w:val="center"/>
                    <w:rPr>
                      <w:sz w:val="21"/>
                      <w:szCs w:val="21"/>
                    </w:rPr>
                  </w:pPr>
                  <w:r w:rsidRPr="004E0F02">
                    <w:rPr>
                      <w:sz w:val="21"/>
                      <w:szCs w:val="21"/>
                    </w:rPr>
                    <w:t>0,625</w:t>
                  </w:r>
                </w:p>
              </w:tc>
              <w:tc>
                <w:tcPr>
                  <w:tcW w:w="4111" w:type="dxa"/>
                  <w:gridSpan w:val="2"/>
                  <w:vMerge/>
                </w:tcPr>
                <w:p w14:paraId="6FBA0803" w14:textId="77777777" w:rsidR="00CE2D18" w:rsidRPr="004E0F02" w:rsidRDefault="00CE2D18" w:rsidP="009A0D0F">
                  <w:pPr>
                    <w:jc w:val="both"/>
                    <w:rPr>
                      <w:sz w:val="21"/>
                      <w:szCs w:val="21"/>
                    </w:rPr>
                  </w:pPr>
                </w:p>
              </w:tc>
            </w:tr>
          </w:tbl>
          <w:p w14:paraId="752233B7" w14:textId="77777777" w:rsidR="00CE2D18" w:rsidRPr="004E0F02" w:rsidRDefault="00CE2D18" w:rsidP="009A0D0F">
            <w:pPr>
              <w:spacing w:line="240" w:lineRule="auto"/>
              <w:jc w:val="both"/>
              <w:rPr>
                <w:sz w:val="21"/>
                <w:szCs w:val="21"/>
              </w:rPr>
            </w:pPr>
          </w:p>
          <w:p w14:paraId="17668261" w14:textId="596E875C" w:rsidR="00FA35CD" w:rsidRPr="004E0F02" w:rsidRDefault="00FA35CD" w:rsidP="009A0D0F">
            <w:pPr>
              <w:spacing w:line="240" w:lineRule="auto"/>
              <w:jc w:val="both"/>
              <w:rPr>
                <w:sz w:val="21"/>
                <w:szCs w:val="21"/>
              </w:rPr>
            </w:pPr>
            <w:r w:rsidRPr="004E0F02">
              <w:rPr>
                <w:sz w:val="21"/>
                <w:szCs w:val="21"/>
              </w:rPr>
              <w:t>W przypadku braku możliwości zaangażowania w latach 2022-2031 środków z projektów unijnych, ewentualne wydatki po stronie budżetu państwa potrzebne na utrzymanie i rozwój portalu otwartych danych (dane.gov.pl) będą sfinansowane w ramach limitu wydatków ministra właściwego do spraw informatyzacji i nie będą stanowiły podstawy do ubiegania się o dodatkowe środki z budżetu państwa na ten cel.</w:t>
            </w:r>
          </w:p>
          <w:p w14:paraId="52A48D7E" w14:textId="77777777" w:rsidR="00FA35CD" w:rsidRPr="004E0F02" w:rsidRDefault="00FA35CD" w:rsidP="009A0D0F">
            <w:pPr>
              <w:spacing w:line="240" w:lineRule="auto"/>
              <w:jc w:val="both"/>
              <w:rPr>
                <w:sz w:val="21"/>
                <w:szCs w:val="21"/>
              </w:rPr>
            </w:pPr>
          </w:p>
          <w:p w14:paraId="3C26FC00" w14:textId="77777777" w:rsidR="00CE2D18" w:rsidRPr="004E0F02" w:rsidRDefault="00CE2D18" w:rsidP="009346F9">
            <w:pPr>
              <w:pStyle w:val="Akapitzlist"/>
              <w:numPr>
                <w:ilvl w:val="0"/>
                <w:numId w:val="10"/>
              </w:numPr>
              <w:spacing w:line="240" w:lineRule="auto"/>
              <w:ind w:left="372" w:hanging="77"/>
              <w:jc w:val="both"/>
              <w:rPr>
                <w:rFonts w:ascii="Times New Roman" w:hAnsi="Times New Roman"/>
                <w:b/>
                <w:sz w:val="21"/>
                <w:szCs w:val="21"/>
              </w:rPr>
            </w:pPr>
            <w:r w:rsidRPr="004E0F02">
              <w:rPr>
                <w:rFonts w:ascii="Times New Roman" w:hAnsi="Times New Roman"/>
                <w:b/>
                <w:sz w:val="21"/>
                <w:szCs w:val="21"/>
              </w:rPr>
              <w:t>Wydatki związane</w:t>
            </w:r>
            <w:r w:rsidR="00AF626C" w:rsidRPr="004E0F02">
              <w:rPr>
                <w:rFonts w:ascii="Times New Roman" w:hAnsi="Times New Roman"/>
                <w:b/>
                <w:sz w:val="21"/>
                <w:szCs w:val="21"/>
              </w:rPr>
              <w:t xml:space="preserve"> z </w:t>
            </w:r>
            <w:r w:rsidRPr="004E0F02">
              <w:rPr>
                <w:rFonts w:ascii="Times New Roman" w:hAnsi="Times New Roman"/>
                <w:b/>
                <w:sz w:val="21"/>
                <w:szCs w:val="21"/>
              </w:rPr>
              <w:t>obsługą wniosków</w:t>
            </w:r>
            <w:r w:rsidR="00AF626C" w:rsidRPr="004E0F02">
              <w:rPr>
                <w:rFonts w:ascii="Times New Roman" w:hAnsi="Times New Roman"/>
                <w:b/>
                <w:sz w:val="21"/>
                <w:szCs w:val="21"/>
              </w:rPr>
              <w:t xml:space="preserve"> o </w:t>
            </w:r>
            <w:r w:rsidRPr="004E0F02">
              <w:rPr>
                <w:rFonts w:ascii="Times New Roman" w:hAnsi="Times New Roman"/>
                <w:b/>
                <w:sz w:val="21"/>
                <w:szCs w:val="21"/>
              </w:rPr>
              <w:t>udostępnienie informacji sektora publicznego do ponownego wykorzystania</w:t>
            </w:r>
          </w:p>
          <w:p w14:paraId="3E9E640B" w14:textId="77777777" w:rsidR="00CE2D18" w:rsidRPr="004E0F02" w:rsidRDefault="00CE2D18" w:rsidP="009A0D0F">
            <w:pPr>
              <w:spacing w:line="240" w:lineRule="auto"/>
              <w:jc w:val="both"/>
              <w:rPr>
                <w:sz w:val="21"/>
                <w:szCs w:val="21"/>
              </w:rPr>
            </w:pPr>
            <w:r w:rsidRPr="004E0F02">
              <w:rPr>
                <w:sz w:val="21"/>
                <w:szCs w:val="21"/>
              </w:rPr>
              <w:t>Koszty administracyjne związane</w:t>
            </w:r>
            <w:r w:rsidR="00AF626C" w:rsidRPr="004E0F02">
              <w:rPr>
                <w:sz w:val="21"/>
                <w:szCs w:val="21"/>
              </w:rPr>
              <w:t xml:space="preserve"> z </w:t>
            </w:r>
            <w:r w:rsidRPr="004E0F02">
              <w:rPr>
                <w:sz w:val="21"/>
                <w:szCs w:val="21"/>
              </w:rPr>
              <w:t>obsługą wniosków</w:t>
            </w:r>
            <w:r w:rsidR="00AF626C" w:rsidRPr="004E0F02">
              <w:rPr>
                <w:sz w:val="21"/>
                <w:szCs w:val="21"/>
              </w:rPr>
              <w:t xml:space="preserve"> o </w:t>
            </w:r>
            <w:r w:rsidRPr="004E0F02">
              <w:rPr>
                <w:sz w:val="21"/>
                <w:szCs w:val="21"/>
              </w:rPr>
              <w:t>udostępnienie informacji sektora publicznego do ponownego wykorzystania będą pokrywane</w:t>
            </w:r>
            <w:r w:rsidR="00AF626C" w:rsidRPr="004E0F02">
              <w:rPr>
                <w:sz w:val="21"/>
                <w:szCs w:val="21"/>
              </w:rPr>
              <w:t xml:space="preserve"> w </w:t>
            </w:r>
            <w:r w:rsidRPr="004E0F02">
              <w:rPr>
                <w:sz w:val="21"/>
                <w:szCs w:val="21"/>
              </w:rPr>
              <w:t>ramach środków ujętych</w:t>
            </w:r>
            <w:r w:rsidR="00AF626C" w:rsidRPr="004E0F02">
              <w:rPr>
                <w:sz w:val="21"/>
                <w:szCs w:val="21"/>
              </w:rPr>
              <w:t xml:space="preserve"> w </w:t>
            </w:r>
            <w:r w:rsidRPr="004E0F02">
              <w:rPr>
                <w:sz w:val="21"/>
                <w:szCs w:val="21"/>
              </w:rPr>
              <w:t>planach finansowych jednostek objętych regulacją,</w:t>
            </w:r>
            <w:r w:rsidR="00AF626C" w:rsidRPr="004E0F02">
              <w:rPr>
                <w:sz w:val="21"/>
                <w:szCs w:val="21"/>
              </w:rPr>
              <w:t xml:space="preserve"> w </w:t>
            </w:r>
            <w:r w:rsidRPr="004E0F02">
              <w:rPr>
                <w:sz w:val="21"/>
                <w:szCs w:val="21"/>
              </w:rPr>
              <w:t>przypadku wydatków budżetu państwa,</w:t>
            </w:r>
            <w:r w:rsidR="00AF626C" w:rsidRPr="004E0F02">
              <w:rPr>
                <w:sz w:val="21"/>
                <w:szCs w:val="21"/>
              </w:rPr>
              <w:t xml:space="preserve"> w </w:t>
            </w:r>
            <w:r w:rsidRPr="004E0F02">
              <w:rPr>
                <w:sz w:val="21"/>
                <w:szCs w:val="21"/>
              </w:rPr>
              <w:t>ramach środków dostępnych we właściwych częściach budżetowych,</w:t>
            </w:r>
            <w:r w:rsidR="00AF626C" w:rsidRPr="004E0F02">
              <w:rPr>
                <w:sz w:val="21"/>
                <w:szCs w:val="21"/>
              </w:rPr>
              <w:t xml:space="preserve"> a w </w:t>
            </w:r>
            <w:r w:rsidRPr="004E0F02">
              <w:rPr>
                <w:sz w:val="21"/>
                <w:szCs w:val="21"/>
              </w:rPr>
              <w:t>przypadku wydatków jednostek samorządu terytorialnego,</w:t>
            </w:r>
            <w:r w:rsidR="00AF626C" w:rsidRPr="004E0F02">
              <w:rPr>
                <w:sz w:val="21"/>
                <w:szCs w:val="21"/>
              </w:rPr>
              <w:t xml:space="preserve"> w </w:t>
            </w:r>
            <w:r w:rsidRPr="004E0F02">
              <w:rPr>
                <w:sz w:val="21"/>
                <w:szCs w:val="21"/>
              </w:rPr>
              <w:t xml:space="preserve">ramach ich budżetów. </w:t>
            </w:r>
          </w:p>
          <w:p w14:paraId="5D70BDE1" w14:textId="77777777" w:rsidR="00CE2D18" w:rsidRPr="004E0F02" w:rsidRDefault="00CE2D18" w:rsidP="009A0D0F">
            <w:pPr>
              <w:spacing w:line="240" w:lineRule="auto"/>
              <w:jc w:val="both"/>
              <w:rPr>
                <w:sz w:val="21"/>
                <w:szCs w:val="21"/>
              </w:rPr>
            </w:pPr>
          </w:p>
          <w:p w14:paraId="4931504E" w14:textId="77777777" w:rsidR="00CE2D18" w:rsidRPr="004E0F02" w:rsidRDefault="00CE2D18" w:rsidP="009A0D0F">
            <w:pPr>
              <w:spacing w:line="240" w:lineRule="auto"/>
              <w:jc w:val="both"/>
              <w:rPr>
                <w:sz w:val="21"/>
                <w:szCs w:val="21"/>
              </w:rPr>
            </w:pPr>
            <w:r w:rsidRPr="004E0F02">
              <w:rPr>
                <w:sz w:val="21"/>
                <w:szCs w:val="21"/>
              </w:rPr>
              <w:t>W przypadku budżetu państwa oraz budżetów jednostek samorządu terytorialnego projektowana ustawa nie spowoduje zwiększenia wydatków w stosunku do wielkości wynikających z obowiązujących przepisów, natomiast</w:t>
            </w:r>
            <w:r w:rsidR="00AF626C" w:rsidRPr="004E0F02">
              <w:rPr>
                <w:sz w:val="21"/>
                <w:szCs w:val="21"/>
              </w:rPr>
              <w:t xml:space="preserve"> w </w:t>
            </w:r>
            <w:r w:rsidRPr="004E0F02">
              <w:rPr>
                <w:sz w:val="21"/>
                <w:szCs w:val="21"/>
              </w:rPr>
              <w:t>przypadku pozostałych jednostek (jednostki sektora nauki, przedsiębiorstwa publiczne) ewentualny wzrost wydatków może wiązać się</w:t>
            </w:r>
            <w:r w:rsidR="00AF626C" w:rsidRPr="004E0F02">
              <w:rPr>
                <w:sz w:val="21"/>
                <w:szCs w:val="21"/>
              </w:rPr>
              <w:t xml:space="preserve"> z </w:t>
            </w:r>
            <w:r w:rsidRPr="004E0F02">
              <w:rPr>
                <w:sz w:val="21"/>
                <w:szCs w:val="21"/>
              </w:rPr>
              <w:t>podjęciem decyzji przez kierowników tych instytucji</w:t>
            </w:r>
            <w:r w:rsidR="00AF626C" w:rsidRPr="004E0F02">
              <w:rPr>
                <w:sz w:val="21"/>
                <w:szCs w:val="21"/>
              </w:rPr>
              <w:t xml:space="preserve"> o </w:t>
            </w:r>
            <w:r w:rsidRPr="004E0F02">
              <w:rPr>
                <w:sz w:val="21"/>
                <w:szCs w:val="21"/>
              </w:rPr>
              <w:t>udostępnieniu informacji sektora publicznego do ponownego wykorzystania. Trzeba zaznaczyć, że podmioty te samodzielnie podejmują decyzję</w:t>
            </w:r>
            <w:r w:rsidR="00AF626C" w:rsidRPr="004E0F02">
              <w:rPr>
                <w:sz w:val="21"/>
                <w:szCs w:val="21"/>
              </w:rPr>
              <w:t xml:space="preserve"> o </w:t>
            </w:r>
            <w:r w:rsidRPr="004E0F02">
              <w:rPr>
                <w:sz w:val="21"/>
                <w:szCs w:val="21"/>
              </w:rPr>
              <w:t>udostepnieniu informacji, nie ma natomiast bezwzględnego obowiązku.</w:t>
            </w:r>
          </w:p>
        </w:tc>
      </w:tr>
      <w:tr w:rsidR="00CE2D18" w:rsidRPr="004E0F02" w14:paraId="509915D5" w14:textId="77777777" w:rsidTr="00FE76F2">
        <w:trPr>
          <w:trHeight w:val="1124"/>
        </w:trPr>
        <w:tc>
          <w:tcPr>
            <w:tcW w:w="546" w:type="pct"/>
            <w:gridSpan w:val="2"/>
            <w:shd w:val="clear" w:color="auto" w:fill="FFFFFF"/>
          </w:tcPr>
          <w:p w14:paraId="29EAC35F" w14:textId="77777777" w:rsidR="00CE2D18" w:rsidRPr="004E0F02" w:rsidRDefault="00CE2D18" w:rsidP="009A0D0F">
            <w:pPr>
              <w:spacing w:line="240" w:lineRule="auto"/>
              <w:rPr>
                <w:sz w:val="21"/>
                <w:szCs w:val="21"/>
              </w:rPr>
            </w:pPr>
            <w:r w:rsidRPr="004E0F02">
              <w:rPr>
                <w:sz w:val="21"/>
                <w:szCs w:val="21"/>
              </w:rPr>
              <w:lastRenderedPageBreak/>
              <w:t>Dodatkowe informacje,</w:t>
            </w:r>
            <w:r w:rsidR="00AF626C" w:rsidRPr="004E0F02">
              <w:rPr>
                <w:sz w:val="21"/>
                <w:szCs w:val="21"/>
              </w:rPr>
              <w:t xml:space="preserve"> w </w:t>
            </w:r>
            <w:r w:rsidRPr="004E0F02">
              <w:rPr>
                <w:sz w:val="21"/>
                <w:szCs w:val="21"/>
              </w:rPr>
              <w:t>tym wskazanie źródeł danych i przyjętych do obliczeń założeń</w:t>
            </w:r>
          </w:p>
        </w:tc>
        <w:tc>
          <w:tcPr>
            <w:tcW w:w="4454" w:type="pct"/>
            <w:gridSpan w:val="25"/>
            <w:shd w:val="clear" w:color="auto" w:fill="FFFFFF"/>
          </w:tcPr>
          <w:p w14:paraId="2E55DB4B" w14:textId="77777777" w:rsidR="00CE2D18" w:rsidRPr="004E0F02" w:rsidRDefault="00CE2D18" w:rsidP="009346F9">
            <w:pPr>
              <w:pStyle w:val="Akapitzlist"/>
              <w:numPr>
                <w:ilvl w:val="0"/>
                <w:numId w:val="11"/>
              </w:numPr>
              <w:ind w:left="372" w:hanging="218"/>
              <w:rPr>
                <w:rFonts w:ascii="Times New Roman" w:hAnsi="Times New Roman"/>
                <w:b/>
                <w:sz w:val="21"/>
                <w:szCs w:val="21"/>
              </w:rPr>
            </w:pPr>
            <w:r w:rsidRPr="004E0F02">
              <w:rPr>
                <w:rFonts w:ascii="Times New Roman" w:hAnsi="Times New Roman"/>
                <w:b/>
                <w:sz w:val="21"/>
                <w:szCs w:val="21"/>
              </w:rPr>
              <w:t>Wydatki związane</w:t>
            </w:r>
            <w:r w:rsidR="00AF626C" w:rsidRPr="004E0F02">
              <w:rPr>
                <w:rFonts w:ascii="Times New Roman" w:hAnsi="Times New Roman"/>
                <w:b/>
                <w:sz w:val="21"/>
                <w:szCs w:val="21"/>
              </w:rPr>
              <w:t xml:space="preserve"> z </w:t>
            </w:r>
            <w:r w:rsidRPr="004E0F02">
              <w:rPr>
                <w:rFonts w:ascii="Times New Roman" w:hAnsi="Times New Roman"/>
                <w:b/>
                <w:sz w:val="21"/>
                <w:szCs w:val="21"/>
              </w:rPr>
              <w:t>utrzymaniem</w:t>
            </w:r>
            <w:r w:rsidR="00AF626C" w:rsidRPr="004E0F02">
              <w:rPr>
                <w:rFonts w:ascii="Times New Roman" w:hAnsi="Times New Roman"/>
                <w:b/>
                <w:sz w:val="21"/>
                <w:szCs w:val="21"/>
              </w:rPr>
              <w:t xml:space="preserve"> i </w:t>
            </w:r>
            <w:r w:rsidRPr="004E0F02">
              <w:rPr>
                <w:rFonts w:ascii="Times New Roman" w:hAnsi="Times New Roman"/>
                <w:b/>
                <w:sz w:val="21"/>
                <w:szCs w:val="21"/>
              </w:rPr>
              <w:t>rozwojem portalu otwartych danych (dane.gov.pl).</w:t>
            </w:r>
          </w:p>
          <w:p w14:paraId="2ECAA689" w14:textId="7B29351C" w:rsidR="00CE2D18" w:rsidRPr="004E0F02" w:rsidRDefault="00CE2D18" w:rsidP="009A0D0F">
            <w:pPr>
              <w:spacing w:line="240" w:lineRule="auto"/>
              <w:jc w:val="both"/>
              <w:rPr>
                <w:sz w:val="21"/>
                <w:szCs w:val="21"/>
              </w:rPr>
            </w:pPr>
            <w:r w:rsidRPr="004E0F02">
              <w:rPr>
                <w:sz w:val="21"/>
                <w:szCs w:val="21"/>
              </w:rPr>
              <w:t>Za podstawę do obliczeń przyjęto aktualne koszty ponoszone</w:t>
            </w:r>
            <w:r w:rsidR="00AF626C" w:rsidRPr="004E0F02">
              <w:rPr>
                <w:sz w:val="21"/>
                <w:szCs w:val="21"/>
              </w:rPr>
              <w:t xml:space="preserve"> w </w:t>
            </w:r>
            <w:r w:rsidRPr="004E0F02">
              <w:rPr>
                <w:sz w:val="21"/>
                <w:szCs w:val="21"/>
              </w:rPr>
              <w:t>związku</w:t>
            </w:r>
            <w:r w:rsidR="00AF626C" w:rsidRPr="004E0F02">
              <w:rPr>
                <w:sz w:val="21"/>
                <w:szCs w:val="21"/>
              </w:rPr>
              <w:t xml:space="preserve"> z </w:t>
            </w:r>
            <w:r w:rsidRPr="004E0F02">
              <w:rPr>
                <w:sz w:val="21"/>
                <w:szCs w:val="21"/>
              </w:rPr>
              <w:t>utrzymaniem oraz rozwojem centralnego repozytorium informacji publicznej (portal dane.gov.pl), na które składają się m.in. koszty bieżącej eksploatacji, napraw oraz rozbudowy portalu.</w:t>
            </w:r>
            <w:r w:rsidR="00AF626C" w:rsidRPr="004E0F02">
              <w:rPr>
                <w:sz w:val="21"/>
                <w:szCs w:val="21"/>
              </w:rPr>
              <w:t xml:space="preserve"> </w:t>
            </w:r>
            <w:r w:rsidR="00E67805" w:rsidRPr="004E0F02">
              <w:rPr>
                <w:sz w:val="21"/>
                <w:szCs w:val="21"/>
              </w:rPr>
              <w:t>Koszty zostały oszacowane na podstawie dotychczasowych doświadczeń związanych</w:t>
            </w:r>
            <w:r w:rsidR="00E45B1D" w:rsidRPr="004E0F02">
              <w:rPr>
                <w:sz w:val="21"/>
                <w:szCs w:val="21"/>
              </w:rPr>
              <w:t xml:space="preserve"> z </w:t>
            </w:r>
            <w:r w:rsidR="00E67805" w:rsidRPr="004E0F02">
              <w:rPr>
                <w:sz w:val="21"/>
                <w:szCs w:val="21"/>
              </w:rPr>
              <w:t xml:space="preserve">prowadzeniem portalu. </w:t>
            </w:r>
            <w:r w:rsidR="00AF626C" w:rsidRPr="004E0F02">
              <w:rPr>
                <w:sz w:val="21"/>
                <w:szCs w:val="21"/>
              </w:rPr>
              <w:t>W </w:t>
            </w:r>
            <w:r w:rsidRPr="004E0F02">
              <w:rPr>
                <w:sz w:val="21"/>
                <w:szCs w:val="21"/>
              </w:rPr>
              <w:t>pierwszym roku obowiązywania nowej ustawy (202</w:t>
            </w:r>
            <w:r w:rsidR="00AF626C" w:rsidRPr="004E0F02">
              <w:rPr>
                <w:sz w:val="21"/>
                <w:szCs w:val="21"/>
              </w:rPr>
              <w:t>1 </w:t>
            </w:r>
            <w:r w:rsidRPr="004E0F02">
              <w:rPr>
                <w:sz w:val="21"/>
                <w:szCs w:val="21"/>
              </w:rPr>
              <w:t>r.) wydatki związane</w:t>
            </w:r>
            <w:r w:rsidR="00AF626C" w:rsidRPr="004E0F02">
              <w:rPr>
                <w:sz w:val="21"/>
                <w:szCs w:val="21"/>
              </w:rPr>
              <w:t xml:space="preserve"> z </w:t>
            </w:r>
            <w:r w:rsidRPr="004E0F02">
              <w:rPr>
                <w:sz w:val="21"/>
                <w:szCs w:val="21"/>
              </w:rPr>
              <w:t>utrzymaniem</w:t>
            </w:r>
            <w:r w:rsidR="00AF626C" w:rsidRPr="004E0F02">
              <w:rPr>
                <w:sz w:val="21"/>
                <w:szCs w:val="21"/>
              </w:rPr>
              <w:t xml:space="preserve"> i </w:t>
            </w:r>
            <w:r w:rsidRPr="004E0F02">
              <w:rPr>
                <w:sz w:val="21"/>
                <w:szCs w:val="21"/>
              </w:rPr>
              <w:t>rozwojem portalu będą wyższe niż</w:t>
            </w:r>
            <w:r w:rsidR="00AF626C" w:rsidRPr="004E0F02">
              <w:rPr>
                <w:sz w:val="21"/>
                <w:szCs w:val="21"/>
              </w:rPr>
              <w:t xml:space="preserve"> w </w:t>
            </w:r>
            <w:r w:rsidRPr="004E0F02">
              <w:rPr>
                <w:sz w:val="21"/>
                <w:szCs w:val="21"/>
              </w:rPr>
              <w:t>latach kolejnych</w:t>
            </w:r>
            <w:r w:rsidR="00AF626C" w:rsidRPr="004E0F02">
              <w:rPr>
                <w:sz w:val="21"/>
                <w:szCs w:val="21"/>
              </w:rPr>
              <w:t xml:space="preserve"> z </w:t>
            </w:r>
            <w:r w:rsidRPr="004E0F02">
              <w:rPr>
                <w:sz w:val="21"/>
                <w:szCs w:val="21"/>
              </w:rPr>
              <w:t>uwagi na zaplanowane</w:t>
            </w:r>
            <w:r w:rsidR="00AF626C" w:rsidRPr="004E0F02">
              <w:rPr>
                <w:sz w:val="21"/>
                <w:szCs w:val="21"/>
              </w:rPr>
              <w:t xml:space="preserve"> w </w:t>
            </w:r>
            <w:r w:rsidRPr="004E0F02">
              <w:rPr>
                <w:sz w:val="21"/>
                <w:szCs w:val="21"/>
              </w:rPr>
              <w:t xml:space="preserve">ramach projektu </w:t>
            </w:r>
            <w:r w:rsidR="00E45B1D" w:rsidRPr="004E0F02">
              <w:rPr>
                <w:sz w:val="21"/>
                <w:szCs w:val="21"/>
              </w:rPr>
              <w:t>„</w:t>
            </w:r>
            <w:r w:rsidRPr="004E0F02">
              <w:rPr>
                <w:sz w:val="21"/>
                <w:szCs w:val="21"/>
              </w:rPr>
              <w:t>Otwarte dane plus</w:t>
            </w:r>
            <w:r w:rsidR="00E45B1D" w:rsidRPr="004E0F02">
              <w:rPr>
                <w:sz w:val="21"/>
                <w:szCs w:val="21"/>
              </w:rPr>
              <w:t>”</w:t>
            </w:r>
            <w:r w:rsidRPr="004E0F02">
              <w:rPr>
                <w:sz w:val="21"/>
                <w:szCs w:val="21"/>
              </w:rPr>
              <w:t xml:space="preserve"> działania,</w:t>
            </w:r>
            <w:r w:rsidR="00AF626C" w:rsidRPr="004E0F02">
              <w:rPr>
                <w:sz w:val="21"/>
                <w:szCs w:val="21"/>
              </w:rPr>
              <w:t xml:space="preserve"> w </w:t>
            </w:r>
            <w:r w:rsidRPr="004E0F02">
              <w:rPr>
                <w:sz w:val="21"/>
                <w:szCs w:val="21"/>
              </w:rPr>
              <w:t>tym rozbudowę portalu oraz zwiększenie jego funkcjonalności,</w:t>
            </w:r>
            <w:r w:rsidR="00AF626C" w:rsidRPr="004E0F02">
              <w:rPr>
                <w:sz w:val="21"/>
                <w:szCs w:val="21"/>
              </w:rPr>
              <w:t xml:space="preserve"> a </w:t>
            </w:r>
            <w:r w:rsidRPr="004E0F02">
              <w:rPr>
                <w:sz w:val="21"/>
                <w:szCs w:val="21"/>
              </w:rPr>
              <w:t>także otwarcie przez API baz partnerów projektu oraz ich zamieszczenie na dane.gov.pl. Prognozowane wydatki</w:t>
            </w:r>
            <w:r w:rsidR="00AF626C" w:rsidRPr="004E0F02">
              <w:rPr>
                <w:sz w:val="21"/>
                <w:szCs w:val="21"/>
              </w:rPr>
              <w:t xml:space="preserve"> w </w:t>
            </w:r>
            <w:r w:rsidRPr="004E0F02">
              <w:rPr>
                <w:sz w:val="21"/>
                <w:szCs w:val="21"/>
              </w:rPr>
              <w:t>latach 202</w:t>
            </w:r>
            <w:r w:rsidR="00AF626C" w:rsidRPr="004E0F02">
              <w:rPr>
                <w:sz w:val="21"/>
                <w:szCs w:val="21"/>
              </w:rPr>
              <w:t>2 </w:t>
            </w:r>
            <w:r w:rsidRPr="004E0F02">
              <w:rPr>
                <w:sz w:val="21"/>
                <w:szCs w:val="21"/>
              </w:rPr>
              <w:t>– 203</w:t>
            </w:r>
            <w:r w:rsidR="00AF626C" w:rsidRPr="004E0F02">
              <w:rPr>
                <w:sz w:val="21"/>
                <w:szCs w:val="21"/>
              </w:rPr>
              <w:t>1 </w:t>
            </w:r>
            <w:r w:rsidRPr="004E0F02">
              <w:rPr>
                <w:sz w:val="21"/>
                <w:szCs w:val="21"/>
              </w:rPr>
              <w:t>są mniejsze, ponieważ nie obejmują kosztów działań projektowych związanych z rozwojem portalu, dofinansowanych ze środków Unii Europejskiej.</w:t>
            </w:r>
          </w:p>
          <w:p w14:paraId="2F63AAE4" w14:textId="77777777" w:rsidR="00CE2D18" w:rsidRPr="004E0F02" w:rsidRDefault="00CE2D18" w:rsidP="009A0D0F">
            <w:pPr>
              <w:spacing w:line="240" w:lineRule="auto"/>
              <w:jc w:val="both"/>
              <w:rPr>
                <w:b/>
                <w:sz w:val="21"/>
                <w:szCs w:val="21"/>
              </w:rPr>
            </w:pPr>
          </w:p>
          <w:p w14:paraId="1D9FAD7E" w14:textId="77777777" w:rsidR="00CE2D18" w:rsidRPr="004E0F02" w:rsidRDefault="00CE2D18" w:rsidP="009346F9">
            <w:pPr>
              <w:pStyle w:val="Akapitzlist"/>
              <w:numPr>
                <w:ilvl w:val="0"/>
                <w:numId w:val="11"/>
              </w:numPr>
              <w:spacing w:line="240" w:lineRule="auto"/>
              <w:ind w:left="372" w:hanging="77"/>
              <w:jc w:val="both"/>
              <w:rPr>
                <w:rFonts w:ascii="Times New Roman" w:hAnsi="Times New Roman"/>
                <w:b/>
                <w:sz w:val="21"/>
                <w:szCs w:val="21"/>
              </w:rPr>
            </w:pPr>
            <w:r w:rsidRPr="004E0F02">
              <w:rPr>
                <w:rFonts w:ascii="Times New Roman" w:hAnsi="Times New Roman"/>
                <w:b/>
                <w:sz w:val="21"/>
                <w:szCs w:val="21"/>
              </w:rPr>
              <w:t>Wydatki związane</w:t>
            </w:r>
            <w:r w:rsidR="00AF626C" w:rsidRPr="004E0F02">
              <w:rPr>
                <w:rFonts w:ascii="Times New Roman" w:hAnsi="Times New Roman"/>
                <w:b/>
                <w:sz w:val="21"/>
                <w:szCs w:val="21"/>
              </w:rPr>
              <w:t xml:space="preserve"> z </w:t>
            </w:r>
            <w:r w:rsidRPr="004E0F02">
              <w:rPr>
                <w:rFonts w:ascii="Times New Roman" w:hAnsi="Times New Roman"/>
                <w:b/>
                <w:sz w:val="21"/>
                <w:szCs w:val="21"/>
              </w:rPr>
              <w:t>obsługą wniosków</w:t>
            </w:r>
            <w:r w:rsidR="00AF626C" w:rsidRPr="004E0F02">
              <w:rPr>
                <w:rFonts w:ascii="Times New Roman" w:hAnsi="Times New Roman"/>
                <w:b/>
                <w:sz w:val="21"/>
                <w:szCs w:val="21"/>
              </w:rPr>
              <w:t xml:space="preserve"> o </w:t>
            </w:r>
            <w:r w:rsidRPr="004E0F02">
              <w:rPr>
                <w:rFonts w:ascii="Times New Roman" w:hAnsi="Times New Roman"/>
                <w:b/>
                <w:sz w:val="21"/>
                <w:szCs w:val="21"/>
              </w:rPr>
              <w:t>udostępnienie informacji sektora publicznego do ponownego wykorzystania.</w:t>
            </w:r>
          </w:p>
          <w:p w14:paraId="11CF8B40" w14:textId="77777777" w:rsidR="00CE2D18" w:rsidRPr="004E0F02" w:rsidRDefault="00CE2D18" w:rsidP="009A0D0F">
            <w:pPr>
              <w:spacing w:line="240" w:lineRule="auto"/>
              <w:jc w:val="both"/>
              <w:rPr>
                <w:sz w:val="21"/>
                <w:szCs w:val="21"/>
              </w:rPr>
            </w:pPr>
            <w:r w:rsidRPr="004E0F02">
              <w:rPr>
                <w:sz w:val="21"/>
                <w:szCs w:val="21"/>
              </w:rPr>
              <w:t>Potencjalne koszty</w:t>
            </w:r>
            <w:r w:rsidR="00AF626C" w:rsidRPr="004E0F02">
              <w:rPr>
                <w:sz w:val="21"/>
                <w:szCs w:val="21"/>
              </w:rPr>
              <w:t xml:space="preserve"> i </w:t>
            </w:r>
            <w:r w:rsidRPr="004E0F02">
              <w:rPr>
                <w:sz w:val="21"/>
                <w:szCs w:val="21"/>
              </w:rPr>
              <w:t>dochody (w ujęciu pieniężnym) nie obejmują ewentualnych działań związanych</w:t>
            </w:r>
            <w:r w:rsidR="00AF626C" w:rsidRPr="004E0F02">
              <w:rPr>
                <w:sz w:val="21"/>
                <w:szCs w:val="21"/>
              </w:rPr>
              <w:t xml:space="preserve"> z </w:t>
            </w:r>
            <w:r w:rsidRPr="004E0F02">
              <w:rPr>
                <w:sz w:val="21"/>
                <w:szCs w:val="21"/>
              </w:rPr>
              <w:t>digitalizacja zasobów (na wniosek) czy ustalaniem statusu prawnoautorskiego zasobu. Ich skala jest niemożliwa do przewidzenia,</w:t>
            </w:r>
            <w:r w:rsidR="00AF626C" w:rsidRPr="004E0F02">
              <w:rPr>
                <w:sz w:val="21"/>
                <w:szCs w:val="21"/>
              </w:rPr>
              <w:t xml:space="preserve"> a </w:t>
            </w:r>
            <w:r w:rsidRPr="004E0F02">
              <w:rPr>
                <w:sz w:val="21"/>
                <w:szCs w:val="21"/>
              </w:rPr>
              <w:t>ewentualne koszty</w:t>
            </w:r>
            <w:r w:rsidR="00AF626C" w:rsidRPr="004E0F02">
              <w:rPr>
                <w:sz w:val="21"/>
                <w:szCs w:val="21"/>
              </w:rPr>
              <w:t xml:space="preserve"> z </w:t>
            </w:r>
            <w:r w:rsidRPr="004E0F02">
              <w:rPr>
                <w:sz w:val="21"/>
                <w:szCs w:val="21"/>
              </w:rPr>
              <w:t>tym związane zawsze będą mogły być pokrywane</w:t>
            </w:r>
            <w:r w:rsidR="00AF626C" w:rsidRPr="004E0F02">
              <w:rPr>
                <w:sz w:val="21"/>
                <w:szCs w:val="21"/>
              </w:rPr>
              <w:t xml:space="preserve"> z </w:t>
            </w:r>
            <w:r w:rsidRPr="004E0F02">
              <w:rPr>
                <w:sz w:val="21"/>
                <w:szCs w:val="21"/>
              </w:rPr>
              <w:t>opłat za udostępnienie do ponownego wykorzystania. Stąd obydwie te kategorie zostały uwzględnione</w:t>
            </w:r>
            <w:r w:rsidR="00AF626C" w:rsidRPr="004E0F02">
              <w:rPr>
                <w:sz w:val="21"/>
                <w:szCs w:val="21"/>
              </w:rPr>
              <w:t xml:space="preserve"> w </w:t>
            </w:r>
            <w:r w:rsidRPr="004E0F02">
              <w:rPr>
                <w:sz w:val="21"/>
                <w:szCs w:val="21"/>
              </w:rPr>
              <w:t>zestawieni</w:t>
            </w:r>
            <w:r w:rsidR="0054701D" w:rsidRPr="004E0F02">
              <w:rPr>
                <w:sz w:val="21"/>
                <w:szCs w:val="21"/>
              </w:rPr>
              <w:t>u</w:t>
            </w:r>
            <w:r w:rsidRPr="004E0F02">
              <w:rPr>
                <w:sz w:val="21"/>
                <w:szCs w:val="21"/>
              </w:rPr>
              <w:t xml:space="preserve"> kosztów/korzyści niemierzalnych. </w:t>
            </w:r>
          </w:p>
          <w:p w14:paraId="621DCCDF" w14:textId="77777777" w:rsidR="00CE2D18" w:rsidRPr="004E0F02" w:rsidRDefault="00CE2D18" w:rsidP="009A0D0F">
            <w:pPr>
              <w:spacing w:line="240" w:lineRule="auto"/>
              <w:jc w:val="both"/>
              <w:rPr>
                <w:sz w:val="21"/>
                <w:szCs w:val="21"/>
              </w:rPr>
            </w:pPr>
          </w:p>
          <w:p w14:paraId="2C4970D0" w14:textId="77777777" w:rsidR="00CE2D18" w:rsidRPr="004E0F02" w:rsidRDefault="00CE2D18" w:rsidP="009A0D0F">
            <w:pPr>
              <w:spacing w:line="240" w:lineRule="auto"/>
              <w:jc w:val="both"/>
              <w:rPr>
                <w:sz w:val="21"/>
                <w:szCs w:val="21"/>
              </w:rPr>
            </w:pPr>
            <w:r w:rsidRPr="004E0F02">
              <w:rPr>
                <w:sz w:val="21"/>
                <w:szCs w:val="21"/>
              </w:rPr>
              <w:t>Koszty dla budżetu państwa mogą wiązać się</w:t>
            </w:r>
            <w:r w:rsidR="00AF626C" w:rsidRPr="004E0F02">
              <w:rPr>
                <w:sz w:val="21"/>
                <w:szCs w:val="21"/>
              </w:rPr>
              <w:t xml:space="preserve"> z </w:t>
            </w:r>
            <w:r w:rsidRPr="004E0F02">
              <w:rPr>
                <w:sz w:val="21"/>
                <w:szCs w:val="21"/>
              </w:rPr>
              <w:t>koniecznością dobudowy interfejsów programowania aplikacji (API) do wybranych baz danych/zbiorów danych</w:t>
            </w:r>
            <w:r w:rsidR="00AF626C" w:rsidRPr="004E0F02">
              <w:rPr>
                <w:sz w:val="21"/>
                <w:szCs w:val="21"/>
              </w:rPr>
              <w:t xml:space="preserve"> i </w:t>
            </w:r>
            <w:r w:rsidRPr="004E0F02">
              <w:rPr>
                <w:sz w:val="21"/>
                <w:szCs w:val="21"/>
              </w:rPr>
              <w:t xml:space="preserve">dostosowanie ich do zautomatyzowanego udostępniania przez API.  </w:t>
            </w:r>
          </w:p>
          <w:p w14:paraId="1879A153" w14:textId="77777777" w:rsidR="00CE2D18" w:rsidRPr="004E0F02" w:rsidRDefault="00CE2D18" w:rsidP="009A0D0F">
            <w:pPr>
              <w:spacing w:line="240" w:lineRule="auto"/>
              <w:jc w:val="both"/>
              <w:rPr>
                <w:sz w:val="21"/>
                <w:szCs w:val="21"/>
              </w:rPr>
            </w:pPr>
          </w:p>
          <w:p w14:paraId="0D2EA4C1" w14:textId="77777777" w:rsidR="00CE2D18" w:rsidRPr="004E0F02" w:rsidRDefault="00CE2D18" w:rsidP="009A0D0F">
            <w:pPr>
              <w:spacing w:line="240" w:lineRule="auto"/>
              <w:jc w:val="both"/>
              <w:rPr>
                <w:sz w:val="21"/>
                <w:szCs w:val="21"/>
              </w:rPr>
            </w:pPr>
            <w:r w:rsidRPr="004E0F02">
              <w:rPr>
                <w:sz w:val="21"/>
                <w:szCs w:val="21"/>
              </w:rPr>
              <w:t>Na obecnym etapie nie jest możliwe ustalenie kosztów dobudowy kluczy API do wybranych baz danych/zbiorów danych.</w:t>
            </w:r>
            <w:r w:rsidR="00AF626C" w:rsidRPr="004E0F02">
              <w:rPr>
                <w:sz w:val="21"/>
                <w:szCs w:val="21"/>
              </w:rPr>
              <w:t xml:space="preserve"> W </w:t>
            </w:r>
            <w:r w:rsidRPr="004E0F02">
              <w:rPr>
                <w:sz w:val="21"/>
                <w:szCs w:val="21"/>
              </w:rPr>
              <w:t>IV kwartale 201</w:t>
            </w:r>
            <w:r w:rsidR="00AF626C" w:rsidRPr="004E0F02">
              <w:rPr>
                <w:sz w:val="21"/>
                <w:szCs w:val="21"/>
              </w:rPr>
              <w:t>9 </w:t>
            </w:r>
            <w:r w:rsidRPr="004E0F02">
              <w:rPr>
                <w:sz w:val="21"/>
                <w:szCs w:val="21"/>
              </w:rPr>
              <w:t>r. dopiero rozpoczęły się prace nad aktem wykonawczym do dyrektywy 2019/1024/UE,</w:t>
            </w:r>
            <w:r w:rsidR="00AF626C" w:rsidRPr="004E0F02">
              <w:rPr>
                <w:sz w:val="21"/>
                <w:szCs w:val="21"/>
              </w:rPr>
              <w:t xml:space="preserve"> w </w:t>
            </w:r>
            <w:r w:rsidRPr="004E0F02">
              <w:rPr>
                <w:sz w:val="21"/>
                <w:szCs w:val="21"/>
              </w:rPr>
              <w:t xml:space="preserve">którym zostanie określona lista zbiorów </w:t>
            </w:r>
            <w:r w:rsidRPr="004E0F02">
              <w:rPr>
                <w:sz w:val="21"/>
                <w:szCs w:val="21"/>
              </w:rPr>
              <w:lastRenderedPageBreak/>
              <w:t>danych o wysokiej wartości.</w:t>
            </w:r>
            <w:r w:rsidR="00AF626C" w:rsidRPr="004E0F02">
              <w:rPr>
                <w:sz w:val="21"/>
                <w:szCs w:val="21"/>
              </w:rPr>
              <w:t xml:space="preserve"> W </w:t>
            </w:r>
            <w:r w:rsidRPr="004E0F02">
              <w:rPr>
                <w:sz w:val="21"/>
                <w:szCs w:val="21"/>
              </w:rPr>
              <w:t>akcie wykonawczym zostaną wskazane zbiory danych</w:t>
            </w:r>
            <w:r w:rsidR="00AF626C" w:rsidRPr="004E0F02">
              <w:rPr>
                <w:sz w:val="21"/>
                <w:szCs w:val="21"/>
              </w:rPr>
              <w:t xml:space="preserve"> o </w:t>
            </w:r>
            <w:r w:rsidRPr="004E0F02">
              <w:rPr>
                <w:sz w:val="21"/>
                <w:szCs w:val="21"/>
              </w:rPr>
              <w:t>wysokiej wartości spośród kategorii tematycznych wymienionych</w:t>
            </w:r>
            <w:r w:rsidR="00AF626C" w:rsidRPr="004E0F02">
              <w:rPr>
                <w:sz w:val="21"/>
                <w:szCs w:val="21"/>
              </w:rPr>
              <w:t xml:space="preserve"> w </w:t>
            </w:r>
            <w:r w:rsidRPr="004E0F02">
              <w:rPr>
                <w:sz w:val="21"/>
                <w:szCs w:val="21"/>
              </w:rPr>
              <w:t>Załączniku</w:t>
            </w:r>
            <w:r w:rsidR="00AF626C" w:rsidRPr="004E0F02">
              <w:rPr>
                <w:sz w:val="21"/>
                <w:szCs w:val="21"/>
              </w:rPr>
              <w:t xml:space="preserve"> I </w:t>
            </w:r>
            <w:r w:rsidRPr="004E0F02">
              <w:rPr>
                <w:sz w:val="21"/>
                <w:szCs w:val="21"/>
              </w:rPr>
              <w:t>do dyrektywy 2019/1024/UE, tj</w:t>
            </w:r>
            <w:r w:rsidR="00BE1522" w:rsidRPr="004E0F02">
              <w:rPr>
                <w:sz w:val="21"/>
                <w:szCs w:val="21"/>
              </w:rPr>
              <w:t>.</w:t>
            </w:r>
            <w:r w:rsidRPr="004E0F02">
              <w:rPr>
                <w:sz w:val="21"/>
                <w:szCs w:val="21"/>
              </w:rPr>
              <w:t>:</w:t>
            </w:r>
          </w:p>
          <w:p w14:paraId="51732B0C" w14:textId="77777777" w:rsidR="00CE2D18" w:rsidRPr="004E0F02" w:rsidRDefault="00CE2D18" w:rsidP="009A0D0F">
            <w:pPr>
              <w:spacing w:line="240" w:lineRule="auto"/>
              <w:jc w:val="both"/>
              <w:rPr>
                <w:sz w:val="21"/>
                <w:szCs w:val="21"/>
              </w:rPr>
            </w:pPr>
            <w:r w:rsidRPr="004E0F02">
              <w:rPr>
                <w:sz w:val="21"/>
                <w:szCs w:val="21"/>
              </w:rPr>
              <w:t>1. Dane geoprzestrzenne</w:t>
            </w:r>
          </w:p>
          <w:p w14:paraId="4A474845" w14:textId="77777777" w:rsidR="00CE2D18" w:rsidRPr="004E0F02" w:rsidRDefault="00CE2D18" w:rsidP="009A0D0F">
            <w:pPr>
              <w:spacing w:line="240" w:lineRule="auto"/>
              <w:jc w:val="both"/>
              <w:rPr>
                <w:sz w:val="21"/>
                <w:szCs w:val="21"/>
              </w:rPr>
            </w:pPr>
            <w:r w:rsidRPr="004E0F02">
              <w:rPr>
                <w:sz w:val="21"/>
                <w:szCs w:val="21"/>
              </w:rPr>
              <w:t>2. Dane dotyczące obserwacji Ziemi</w:t>
            </w:r>
            <w:r w:rsidR="00AF626C" w:rsidRPr="004E0F02">
              <w:rPr>
                <w:sz w:val="21"/>
                <w:szCs w:val="21"/>
              </w:rPr>
              <w:t xml:space="preserve"> i </w:t>
            </w:r>
            <w:r w:rsidRPr="004E0F02">
              <w:rPr>
                <w:sz w:val="21"/>
                <w:szCs w:val="21"/>
              </w:rPr>
              <w:t xml:space="preserve">środowiska </w:t>
            </w:r>
          </w:p>
          <w:p w14:paraId="2BAC61E6" w14:textId="77777777" w:rsidR="00CE2D18" w:rsidRPr="004E0F02" w:rsidRDefault="00CE2D18" w:rsidP="009A0D0F">
            <w:pPr>
              <w:spacing w:line="240" w:lineRule="auto"/>
              <w:jc w:val="both"/>
              <w:rPr>
                <w:sz w:val="21"/>
                <w:szCs w:val="21"/>
              </w:rPr>
            </w:pPr>
            <w:r w:rsidRPr="004E0F02">
              <w:rPr>
                <w:sz w:val="21"/>
                <w:szCs w:val="21"/>
              </w:rPr>
              <w:t xml:space="preserve">3. Dane meteorologiczne </w:t>
            </w:r>
          </w:p>
          <w:p w14:paraId="0F347E70" w14:textId="77777777" w:rsidR="00CE2D18" w:rsidRPr="004E0F02" w:rsidRDefault="00CE2D18" w:rsidP="009A0D0F">
            <w:pPr>
              <w:spacing w:line="240" w:lineRule="auto"/>
              <w:jc w:val="both"/>
              <w:rPr>
                <w:sz w:val="21"/>
                <w:szCs w:val="21"/>
              </w:rPr>
            </w:pPr>
            <w:r w:rsidRPr="004E0F02">
              <w:rPr>
                <w:sz w:val="21"/>
                <w:szCs w:val="21"/>
              </w:rPr>
              <w:t xml:space="preserve">4. Dane statystyczne </w:t>
            </w:r>
          </w:p>
          <w:p w14:paraId="6BE345E8" w14:textId="77777777" w:rsidR="00CE2D18" w:rsidRPr="004E0F02" w:rsidRDefault="00CE2D18" w:rsidP="009A0D0F">
            <w:pPr>
              <w:spacing w:line="240" w:lineRule="auto"/>
              <w:jc w:val="both"/>
              <w:rPr>
                <w:sz w:val="21"/>
                <w:szCs w:val="21"/>
              </w:rPr>
            </w:pPr>
            <w:r w:rsidRPr="004E0F02">
              <w:rPr>
                <w:sz w:val="21"/>
                <w:szCs w:val="21"/>
              </w:rPr>
              <w:t>5. Dane dotyczące przedsiębiorstw</w:t>
            </w:r>
            <w:r w:rsidR="00AF626C" w:rsidRPr="004E0F02">
              <w:rPr>
                <w:sz w:val="21"/>
                <w:szCs w:val="21"/>
              </w:rPr>
              <w:t xml:space="preserve"> i </w:t>
            </w:r>
            <w:r w:rsidRPr="004E0F02">
              <w:rPr>
                <w:sz w:val="21"/>
                <w:szCs w:val="21"/>
              </w:rPr>
              <w:t xml:space="preserve">ich własności </w:t>
            </w:r>
          </w:p>
          <w:p w14:paraId="08FDD078" w14:textId="77777777" w:rsidR="00CE2D18" w:rsidRPr="004E0F02" w:rsidRDefault="00CE2D18" w:rsidP="009A0D0F">
            <w:pPr>
              <w:spacing w:line="240" w:lineRule="auto"/>
              <w:jc w:val="both"/>
              <w:rPr>
                <w:sz w:val="21"/>
                <w:szCs w:val="21"/>
              </w:rPr>
            </w:pPr>
            <w:r w:rsidRPr="004E0F02">
              <w:rPr>
                <w:sz w:val="21"/>
                <w:szCs w:val="21"/>
              </w:rPr>
              <w:t>6. Dane dotyczące mobilności</w:t>
            </w:r>
          </w:p>
          <w:p w14:paraId="0C333063" w14:textId="77777777" w:rsidR="00CE2D18" w:rsidRPr="004E0F02" w:rsidRDefault="00CE2D18" w:rsidP="009A0D0F">
            <w:pPr>
              <w:spacing w:line="240" w:lineRule="auto"/>
              <w:jc w:val="both"/>
              <w:rPr>
                <w:sz w:val="21"/>
                <w:szCs w:val="21"/>
              </w:rPr>
            </w:pPr>
          </w:p>
          <w:p w14:paraId="22D40090" w14:textId="77777777" w:rsidR="00CE2D18" w:rsidRPr="004E0F02" w:rsidRDefault="00CE2D18" w:rsidP="009A0D0F">
            <w:pPr>
              <w:spacing w:line="240" w:lineRule="auto"/>
              <w:jc w:val="both"/>
              <w:rPr>
                <w:sz w:val="21"/>
                <w:szCs w:val="21"/>
              </w:rPr>
            </w:pPr>
            <w:r w:rsidRPr="004E0F02">
              <w:rPr>
                <w:sz w:val="21"/>
                <w:szCs w:val="21"/>
              </w:rPr>
              <w:t>Dane te będą udostępniane do ponownego wykorzystywania co do zasady bezpłatnie poprzez API. Ewentualne koszty dobudowy API obejmą te zbiory danych, które obecnie nie są dostępne poprzez API. Prace nad aktem wykonawczym zakończą się ok. 202</w:t>
            </w:r>
            <w:r w:rsidR="00AF626C" w:rsidRPr="004E0F02">
              <w:rPr>
                <w:sz w:val="21"/>
                <w:szCs w:val="21"/>
              </w:rPr>
              <w:t>1 </w:t>
            </w:r>
            <w:r w:rsidRPr="004E0F02">
              <w:rPr>
                <w:sz w:val="21"/>
                <w:szCs w:val="21"/>
              </w:rPr>
              <w:t>r.</w:t>
            </w:r>
          </w:p>
          <w:p w14:paraId="3A264970" w14:textId="77777777" w:rsidR="00CE2D18" w:rsidRPr="004E0F02" w:rsidRDefault="00CE2D18" w:rsidP="009A0D0F">
            <w:pPr>
              <w:spacing w:line="240" w:lineRule="auto"/>
              <w:jc w:val="both"/>
              <w:rPr>
                <w:sz w:val="21"/>
                <w:szCs w:val="21"/>
              </w:rPr>
            </w:pPr>
            <w:r w:rsidRPr="004E0F02">
              <w:rPr>
                <w:sz w:val="21"/>
                <w:szCs w:val="21"/>
              </w:rPr>
              <w:t>Koszty dobudowy API będą uzależnione od wielkości bazy, liczby rekordów</w:t>
            </w:r>
            <w:r w:rsidR="00AF626C" w:rsidRPr="004E0F02">
              <w:rPr>
                <w:sz w:val="21"/>
                <w:szCs w:val="21"/>
              </w:rPr>
              <w:t xml:space="preserve"> i </w:t>
            </w:r>
            <w:r w:rsidRPr="004E0F02">
              <w:rPr>
                <w:sz w:val="21"/>
                <w:szCs w:val="21"/>
              </w:rPr>
              <w:t>aktualnej infrastruktury IT.</w:t>
            </w:r>
          </w:p>
          <w:p w14:paraId="69DC1F35" w14:textId="77777777" w:rsidR="00CE2D18" w:rsidRPr="004E0F02" w:rsidRDefault="00CE2D18" w:rsidP="009A0D0F">
            <w:pPr>
              <w:spacing w:line="240" w:lineRule="auto"/>
              <w:jc w:val="both"/>
              <w:rPr>
                <w:sz w:val="21"/>
                <w:szCs w:val="21"/>
              </w:rPr>
            </w:pPr>
          </w:p>
          <w:p w14:paraId="3CA62612" w14:textId="77777777" w:rsidR="00CE2D18" w:rsidRPr="004E0F02" w:rsidRDefault="00CE2D18" w:rsidP="009A0D0F">
            <w:pPr>
              <w:spacing w:line="240" w:lineRule="auto"/>
              <w:jc w:val="both"/>
              <w:rPr>
                <w:sz w:val="21"/>
                <w:szCs w:val="21"/>
              </w:rPr>
            </w:pPr>
            <w:r w:rsidRPr="004E0F02">
              <w:rPr>
                <w:sz w:val="21"/>
                <w:szCs w:val="21"/>
              </w:rPr>
              <w:t>Już obecnie wiele zbiorów danych jest udostępnianych przez API. Przykładowo na portalu otwartych danych dane.gov.pl poprzez API dostępnych jest 24</w:t>
            </w:r>
            <w:r w:rsidR="00AF626C" w:rsidRPr="004E0F02">
              <w:rPr>
                <w:sz w:val="21"/>
                <w:szCs w:val="21"/>
              </w:rPr>
              <w:t>6 </w:t>
            </w:r>
            <w:r w:rsidRPr="004E0F02">
              <w:rPr>
                <w:sz w:val="21"/>
                <w:szCs w:val="21"/>
              </w:rPr>
              <w:t>zasobów.</w:t>
            </w:r>
          </w:p>
          <w:p w14:paraId="4D0F5701" w14:textId="4075D029" w:rsidR="00CE2D18" w:rsidRPr="004E0F02" w:rsidRDefault="00CE2D18" w:rsidP="009A0D0F">
            <w:pPr>
              <w:spacing w:line="240" w:lineRule="auto"/>
              <w:jc w:val="both"/>
              <w:rPr>
                <w:sz w:val="21"/>
                <w:szCs w:val="21"/>
              </w:rPr>
            </w:pPr>
            <w:r w:rsidRPr="004E0F02">
              <w:rPr>
                <w:sz w:val="21"/>
                <w:szCs w:val="21"/>
              </w:rPr>
              <w:t>Ponadto</w:t>
            </w:r>
            <w:r w:rsidR="00AF626C" w:rsidRPr="004E0F02">
              <w:rPr>
                <w:sz w:val="21"/>
                <w:szCs w:val="21"/>
              </w:rPr>
              <w:t xml:space="preserve"> w </w:t>
            </w:r>
            <w:r w:rsidRPr="004E0F02">
              <w:rPr>
                <w:sz w:val="21"/>
                <w:szCs w:val="21"/>
              </w:rPr>
              <w:t>ramach realizowanych przez Ministerstwo Cyfryzacji dwóch projektów dofinansowanych</w:t>
            </w:r>
            <w:r w:rsidR="00AF626C" w:rsidRPr="004E0F02">
              <w:rPr>
                <w:sz w:val="21"/>
                <w:szCs w:val="21"/>
              </w:rPr>
              <w:t xml:space="preserve"> z </w:t>
            </w:r>
            <w:r w:rsidRPr="004E0F02">
              <w:rPr>
                <w:sz w:val="21"/>
                <w:szCs w:val="21"/>
              </w:rPr>
              <w:t>Programu Operacyjnego Polska Cyfrowa na lata 201</w:t>
            </w:r>
            <w:r w:rsidR="00E45B1D" w:rsidRPr="004E0F02">
              <w:rPr>
                <w:sz w:val="21"/>
                <w:szCs w:val="21"/>
              </w:rPr>
              <w:t>4</w:t>
            </w:r>
            <w:r w:rsidR="00E45B1D" w:rsidRPr="004E0F02">
              <w:rPr>
                <w:sz w:val="21"/>
                <w:szCs w:val="21"/>
              </w:rPr>
              <w:noBreakHyphen/>
            </w:r>
            <w:r w:rsidRPr="004E0F02">
              <w:rPr>
                <w:sz w:val="21"/>
                <w:szCs w:val="21"/>
              </w:rPr>
              <w:t>202</w:t>
            </w:r>
            <w:r w:rsidR="00AF626C" w:rsidRPr="004E0F02">
              <w:rPr>
                <w:sz w:val="21"/>
                <w:szCs w:val="21"/>
              </w:rPr>
              <w:t>0 </w:t>
            </w:r>
            <w:r w:rsidRPr="004E0F02">
              <w:rPr>
                <w:sz w:val="21"/>
                <w:szCs w:val="21"/>
              </w:rPr>
              <w:t xml:space="preserve">pn. </w:t>
            </w:r>
            <w:r w:rsidR="00E45B1D" w:rsidRPr="004E0F02">
              <w:rPr>
                <w:sz w:val="21"/>
                <w:szCs w:val="21"/>
              </w:rPr>
              <w:t>„</w:t>
            </w:r>
            <w:r w:rsidRPr="004E0F02">
              <w:rPr>
                <w:sz w:val="21"/>
                <w:szCs w:val="21"/>
              </w:rPr>
              <w:t>Otwarte dane: dostęp, standard, edukacja</w:t>
            </w:r>
            <w:r w:rsidR="00E45B1D" w:rsidRPr="004E0F02">
              <w:rPr>
                <w:sz w:val="21"/>
                <w:szCs w:val="21"/>
              </w:rPr>
              <w:t>”</w:t>
            </w:r>
            <w:r w:rsidRPr="004E0F02">
              <w:rPr>
                <w:sz w:val="21"/>
                <w:szCs w:val="21"/>
              </w:rPr>
              <w:t xml:space="preserve"> oraz </w:t>
            </w:r>
            <w:r w:rsidR="00E45B1D" w:rsidRPr="004E0F02">
              <w:rPr>
                <w:sz w:val="21"/>
                <w:szCs w:val="21"/>
              </w:rPr>
              <w:t>„</w:t>
            </w:r>
            <w:r w:rsidRPr="004E0F02">
              <w:rPr>
                <w:sz w:val="21"/>
                <w:szCs w:val="21"/>
              </w:rPr>
              <w:t>Otwarte dane plus</w:t>
            </w:r>
            <w:r w:rsidR="00E45B1D" w:rsidRPr="004E0F02">
              <w:rPr>
                <w:sz w:val="21"/>
                <w:szCs w:val="21"/>
              </w:rPr>
              <w:t>”</w:t>
            </w:r>
            <w:r w:rsidRPr="004E0F02">
              <w:rPr>
                <w:sz w:val="21"/>
                <w:szCs w:val="21"/>
              </w:rPr>
              <w:t xml:space="preserve"> poprzez API zostały otwarte następujące bazy danych:</w:t>
            </w:r>
          </w:p>
          <w:p w14:paraId="6089B2BA" w14:textId="77777777" w:rsidR="00CE2D18" w:rsidRPr="004E0F02" w:rsidRDefault="00CE2D18" w:rsidP="009346F9">
            <w:pPr>
              <w:pStyle w:val="Akapitzlist"/>
              <w:numPr>
                <w:ilvl w:val="0"/>
                <w:numId w:val="2"/>
              </w:numPr>
              <w:spacing w:line="240" w:lineRule="auto"/>
              <w:jc w:val="both"/>
              <w:rPr>
                <w:rFonts w:ascii="Times New Roman" w:hAnsi="Times New Roman"/>
                <w:sz w:val="21"/>
                <w:szCs w:val="21"/>
              </w:rPr>
            </w:pPr>
            <w:r w:rsidRPr="004E0F02">
              <w:rPr>
                <w:rFonts w:ascii="Times New Roman" w:hAnsi="Times New Roman"/>
                <w:sz w:val="21"/>
                <w:szCs w:val="21"/>
              </w:rPr>
              <w:t>Centralna Ewidencja Pojazdów</w:t>
            </w:r>
            <w:r w:rsidR="00AF626C" w:rsidRPr="004E0F02">
              <w:rPr>
                <w:rFonts w:ascii="Times New Roman" w:hAnsi="Times New Roman"/>
                <w:sz w:val="21"/>
                <w:szCs w:val="21"/>
              </w:rPr>
              <w:t xml:space="preserve"> i </w:t>
            </w:r>
            <w:r w:rsidRPr="004E0F02">
              <w:rPr>
                <w:rFonts w:ascii="Times New Roman" w:hAnsi="Times New Roman"/>
                <w:sz w:val="21"/>
                <w:szCs w:val="21"/>
              </w:rPr>
              <w:t>Kierowców</w:t>
            </w:r>
          </w:p>
          <w:p w14:paraId="1D9A82F5" w14:textId="77777777" w:rsidR="00CE2D18" w:rsidRPr="004E0F02" w:rsidRDefault="00CE2D18" w:rsidP="009346F9">
            <w:pPr>
              <w:pStyle w:val="Akapitzlist"/>
              <w:numPr>
                <w:ilvl w:val="0"/>
                <w:numId w:val="2"/>
              </w:numPr>
              <w:spacing w:line="240" w:lineRule="auto"/>
              <w:jc w:val="both"/>
              <w:rPr>
                <w:rFonts w:ascii="Times New Roman" w:hAnsi="Times New Roman"/>
                <w:sz w:val="21"/>
                <w:szCs w:val="21"/>
              </w:rPr>
            </w:pPr>
            <w:r w:rsidRPr="004E0F02">
              <w:rPr>
                <w:rFonts w:ascii="Times New Roman" w:hAnsi="Times New Roman"/>
                <w:sz w:val="21"/>
                <w:szCs w:val="21"/>
              </w:rPr>
              <w:t>Ogólnopolski Informator</w:t>
            </w:r>
            <w:r w:rsidR="00AF626C" w:rsidRPr="004E0F02">
              <w:rPr>
                <w:rFonts w:ascii="Times New Roman" w:hAnsi="Times New Roman"/>
                <w:sz w:val="21"/>
                <w:szCs w:val="21"/>
              </w:rPr>
              <w:t xml:space="preserve"> o </w:t>
            </w:r>
            <w:r w:rsidRPr="004E0F02">
              <w:rPr>
                <w:rFonts w:ascii="Times New Roman" w:hAnsi="Times New Roman"/>
                <w:sz w:val="21"/>
                <w:szCs w:val="21"/>
              </w:rPr>
              <w:t>Czasie Oczekiwania na Świadczenia Medyczne</w:t>
            </w:r>
          </w:p>
          <w:p w14:paraId="4B9EAE5F" w14:textId="77777777" w:rsidR="00CE2D18" w:rsidRPr="004E0F02" w:rsidRDefault="00CE2D18" w:rsidP="009346F9">
            <w:pPr>
              <w:pStyle w:val="Akapitzlist"/>
              <w:numPr>
                <w:ilvl w:val="0"/>
                <w:numId w:val="2"/>
              </w:numPr>
              <w:spacing w:line="240" w:lineRule="auto"/>
              <w:jc w:val="both"/>
              <w:rPr>
                <w:rFonts w:ascii="Times New Roman" w:hAnsi="Times New Roman"/>
                <w:sz w:val="21"/>
                <w:szCs w:val="21"/>
              </w:rPr>
            </w:pPr>
            <w:r w:rsidRPr="004E0F02">
              <w:rPr>
                <w:rFonts w:ascii="Times New Roman" w:hAnsi="Times New Roman"/>
                <w:sz w:val="21"/>
                <w:szCs w:val="21"/>
              </w:rPr>
              <w:t>Statystyka Jednorodnych Grup Pacjentów</w:t>
            </w:r>
          </w:p>
          <w:p w14:paraId="21944349" w14:textId="77777777" w:rsidR="00CE2D18" w:rsidRPr="004E0F02" w:rsidRDefault="00CE2D18" w:rsidP="009346F9">
            <w:pPr>
              <w:pStyle w:val="Akapitzlist"/>
              <w:numPr>
                <w:ilvl w:val="0"/>
                <w:numId w:val="2"/>
              </w:numPr>
              <w:spacing w:line="240" w:lineRule="auto"/>
              <w:jc w:val="both"/>
              <w:rPr>
                <w:rFonts w:ascii="Times New Roman" w:hAnsi="Times New Roman"/>
                <w:sz w:val="21"/>
                <w:szCs w:val="21"/>
              </w:rPr>
            </w:pPr>
            <w:r w:rsidRPr="004E0F02">
              <w:rPr>
                <w:rFonts w:ascii="Times New Roman" w:hAnsi="Times New Roman"/>
                <w:sz w:val="21"/>
                <w:szCs w:val="21"/>
              </w:rPr>
              <w:t>Informator</w:t>
            </w:r>
            <w:r w:rsidR="00AF626C" w:rsidRPr="004E0F02">
              <w:rPr>
                <w:rFonts w:ascii="Times New Roman" w:hAnsi="Times New Roman"/>
                <w:sz w:val="21"/>
                <w:szCs w:val="21"/>
              </w:rPr>
              <w:t xml:space="preserve"> o </w:t>
            </w:r>
            <w:r w:rsidRPr="004E0F02">
              <w:rPr>
                <w:rFonts w:ascii="Times New Roman" w:hAnsi="Times New Roman"/>
                <w:sz w:val="21"/>
                <w:szCs w:val="21"/>
              </w:rPr>
              <w:t>umowach</w:t>
            </w:r>
          </w:p>
          <w:p w14:paraId="4FE61A04" w14:textId="77777777" w:rsidR="00CE2D18" w:rsidRPr="004E0F02" w:rsidRDefault="00CE2D18" w:rsidP="009346F9">
            <w:pPr>
              <w:pStyle w:val="Akapitzlist"/>
              <w:numPr>
                <w:ilvl w:val="0"/>
                <w:numId w:val="2"/>
              </w:numPr>
              <w:spacing w:line="240" w:lineRule="auto"/>
              <w:jc w:val="both"/>
              <w:rPr>
                <w:rFonts w:ascii="Times New Roman" w:hAnsi="Times New Roman"/>
                <w:sz w:val="21"/>
                <w:szCs w:val="21"/>
              </w:rPr>
            </w:pPr>
            <w:r w:rsidRPr="004E0F02">
              <w:rPr>
                <w:rFonts w:ascii="Times New Roman" w:hAnsi="Times New Roman"/>
                <w:sz w:val="21"/>
                <w:szCs w:val="21"/>
              </w:rPr>
              <w:t>Bank Danych Lokalnych</w:t>
            </w:r>
          </w:p>
          <w:p w14:paraId="4980E4C4" w14:textId="2703B567" w:rsidR="00CE2D18" w:rsidRPr="004E0F02" w:rsidRDefault="00CE2D18" w:rsidP="009346F9">
            <w:pPr>
              <w:pStyle w:val="Akapitzlist"/>
              <w:numPr>
                <w:ilvl w:val="0"/>
                <w:numId w:val="2"/>
              </w:numPr>
              <w:spacing w:line="240" w:lineRule="auto"/>
              <w:jc w:val="both"/>
              <w:rPr>
                <w:rFonts w:ascii="Times New Roman" w:hAnsi="Times New Roman"/>
                <w:sz w:val="21"/>
                <w:szCs w:val="21"/>
              </w:rPr>
            </w:pPr>
            <w:r w:rsidRPr="004E0F02">
              <w:rPr>
                <w:rFonts w:ascii="Times New Roman" w:hAnsi="Times New Roman"/>
                <w:sz w:val="21"/>
                <w:szCs w:val="21"/>
              </w:rPr>
              <w:t xml:space="preserve">BESTI@ </w:t>
            </w:r>
            <w:r w:rsidR="00E45B1D" w:rsidRPr="004E0F02">
              <w:rPr>
                <w:rFonts w:ascii="Times New Roman" w:hAnsi="Times New Roman"/>
                <w:sz w:val="21"/>
                <w:szCs w:val="21"/>
              </w:rPr>
              <w:noBreakHyphen/>
              <w:t xml:space="preserve"> </w:t>
            </w:r>
            <w:r w:rsidRPr="004E0F02">
              <w:rPr>
                <w:rFonts w:ascii="Times New Roman" w:hAnsi="Times New Roman"/>
                <w:sz w:val="21"/>
                <w:szCs w:val="21"/>
              </w:rPr>
              <w:t>informatyczny system zarządzania finansami jednostek samorządu terytorialnego</w:t>
            </w:r>
          </w:p>
          <w:p w14:paraId="70D520D2" w14:textId="77777777" w:rsidR="00CE2D18" w:rsidRPr="004E0F02" w:rsidRDefault="00CE2D18" w:rsidP="009A0D0F">
            <w:pPr>
              <w:spacing w:line="240" w:lineRule="auto"/>
              <w:jc w:val="both"/>
              <w:rPr>
                <w:sz w:val="21"/>
                <w:szCs w:val="21"/>
              </w:rPr>
            </w:pPr>
            <w:r w:rsidRPr="004E0F02">
              <w:rPr>
                <w:sz w:val="21"/>
                <w:szCs w:val="21"/>
              </w:rPr>
              <w:t>Natomiast do 202</w:t>
            </w:r>
            <w:r w:rsidR="00AF626C" w:rsidRPr="004E0F02">
              <w:rPr>
                <w:sz w:val="21"/>
                <w:szCs w:val="21"/>
              </w:rPr>
              <w:t>1 </w:t>
            </w:r>
            <w:r w:rsidRPr="004E0F02">
              <w:rPr>
                <w:sz w:val="21"/>
                <w:szCs w:val="21"/>
              </w:rPr>
              <w:t>r. zostaną otwarte:</w:t>
            </w:r>
          </w:p>
          <w:p w14:paraId="3B590E87" w14:textId="77777777" w:rsidR="00CE2D18" w:rsidRPr="004E0F02" w:rsidRDefault="00CE2D18" w:rsidP="009346F9">
            <w:pPr>
              <w:pStyle w:val="Akapitzlist"/>
              <w:numPr>
                <w:ilvl w:val="0"/>
                <w:numId w:val="3"/>
              </w:numPr>
              <w:spacing w:line="240" w:lineRule="auto"/>
              <w:jc w:val="both"/>
              <w:rPr>
                <w:rFonts w:ascii="Times New Roman" w:hAnsi="Times New Roman"/>
                <w:sz w:val="21"/>
                <w:szCs w:val="21"/>
              </w:rPr>
            </w:pPr>
            <w:r w:rsidRPr="004E0F02">
              <w:rPr>
                <w:rFonts w:ascii="Times New Roman" w:hAnsi="Times New Roman"/>
                <w:sz w:val="21"/>
                <w:szCs w:val="21"/>
              </w:rPr>
              <w:t>Dziedzinowe Bazy Wiedzy</w:t>
            </w:r>
          </w:p>
          <w:p w14:paraId="628F1CCB" w14:textId="77777777" w:rsidR="00CE2D18" w:rsidRPr="004E0F02" w:rsidRDefault="00CE2D18" w:rsidP="009346F9">
            <w:pPr>
              <w:pStyle w:val="Akapitzlist"/>
              <w:numPr>
                <w:ilvl w:val="0"/>
                <w:numId w:val="3"/>
              </w:numPr>
              <w:spacing w:line="240" w:lineRule="auto"/>
              <w:jc w:val="both"/>
              <w:rPr>
                <w:rFonts w:ascii="Times New Roman" w:hAnsi="Times New Roman"/>
                <w:sz w:val="21"/>
                <w:szCs w:val="21"/>
              </w:rPr>
            </w:pPr>
            <w:r w:rsidRPr="004E0F02">
              <w:rPr>
                <w:rFonts w:ascii="Times New Roman" w:hAnsi="Times New Roman"/>
                <w:sz w:val="21"/>
                <w:szCs w:val="21"/>
              </w:rPr>
              <w:t>rejestry publiczne</w:t>
            </w:r>
            <w:r w:rsidR="00AF626C" w:rsidRPr="004E0F02">
              <w:rPr>
                <w:rFonts w:ascii="Times New Roman" w:hAnsi="Times New Roman"/>
                <w:sz w:val="21"/>
                <w:szCs w:val="21"/>
              </w:rPr>
              <w:t xml:space="preserve"> w </w:t>
            </w:r>
            <w:r w:rsidRPr="004E0F02">
              <w:rPr>
                <w:rFonts w:ascii="Times New Roman" w:hAnsi="Times New Roman"/>
                <w:sz w:val="21"/>
                <w:szCs w:val="21"/>
              </w:rPr>
              <w:t>turystyce</w:t>
            </w:r>
          </w:p>
          <w:p w14:paraId="27508A17" w14:textId="0DE8F83E" w:rsidR="00CE2D18" w:rsidRPr="004E0F02" w:rsidRDefault="00CE2D18" w:rsidP="009346F9">
            <w:pPr>
              <w:pStyle w:val="Akapitzlist"/>
              <w:numPr>
                <w:ilvl w:val="0"/>
                <w:numId w:val="3"/>
              </w:numPr>
              <w:spacing w:line="240" w:lineRule="auto"/>
              <w:jc w:val="both"/>
              <w:rPr>
                <w:rFonts w:ascii="Times New Roman" w:hAnsi="Times New Roman"/>
                <w:sz w:val="21"/>
                <w:szCs w:val="21"/>
              </w:rPr>
            </w:pPr>
            <w:r w:rsidRPr="004E0F02">
              <w:rPr>
                <w:rFonts w:ascii="Times New Roman" w:hAnsi="Times New Roman"/>
                <w:sz w:val="21"/>
                <w:szCs w:val="21"/>
              </w:rPr>
              <w:t xml:space="preserve">Informatyczny System Obsługi Budżetu Państwa </w:t>
            </w:r>
            <w:r w:rsidR="00E45B1D" w:rsidRPr="004E0F02">
              <w:rPr>
                <w:rFonts w:ascii="Times New Roman" w:hAnsi="Times New Roman"/>
                <w:sz w:val="21"/>
                <w:szCs w:val="21"/>
              </w:rPr>
              <w:noBreakHyphen/>
              <w:t xml:space="preserve"> </w:t>
            </w:r>
            <w:r w:rsidRPr="004E0F02">
              <w:rPr>
                <w:rFonts w:ascii="Times New Roman" w:hAnsi="Times New Roman"/>
                <w:sz w:val="21"/>
                <w:szCs w:val="21"/>
              </w:rPr>
              <w:t>TREZOR</w:t>
            </w:r>
          </w:p>
          <w:p w14:paraId="57CE4EE0" w14:textId="77777777" w:rsidR="00CE2D18" w:rsidRPr="004E0F02" w:rsidRDefault="00CE2D18" w:rsidP="009A0D0F">
            <w:pPr>
              <w:spacing w:line="240" w:lineRule="auto"/>
              <w:jc w:val="both"/>
              <w:rPr>
                <w:sz w:val="21"/>
                <w:szCs w:val="21"/>
              </w:rPr>
            </w:pPr>
            <w:r w:rsidRPr="004E0F02">
              <w:rPr>
                <w:sz w:val="21"/>
                <w:szCs w:val="21"/>
              </w:rPr>
              <w:t>Niezależnie od ww. projektów jako przykłady dużych rejestrów,</w:t>
            </w:r>
            <w:r w:rsidR="00AF626C" w:rsidRPr="004E0F02">
              <w:rPr>
                <w:sz w:val="21"/>
                <w:szCs w:val="21"/>
              </w:rPr>
              <w:t xml:space="preserve"> z </w:t>
            </w:r>
            <w:r w:rsidRPr="004E0F02">
              <w:rPr>
                <w:sz w:val="21"/>
                <w:szCs w:val="21"/>
              </w:rPr>
              <w:t xml:space="preserve">których dane są już obecnie dostępne poprzez API można wymienić bazy GUS </w:t>
            </w:r>
            <w:hyperlink r:id="rId15" w:history="1">
              <w:r w:rsidRPr="004E0F02">
                <w:rPr>
                  <w:rStyle w:val="Hipercze"/>
                  <w:color w:val="auto"/>
                  <w:sz w:val="21"/>
                  <w:szCs w:val="21"/>
                </w:rPr>
                <w:t>https://api.stat.gov.pl/</w:t>
              </w:r>
            </w:hyperlink>
          </w:p>
          <w:p w14:paraId="20B4BBE5" w14:textId="53C448E4" w:rsidR="00CE2D18" w:rsidRPr="004E0F02" w:rsidRDefault="00CE2D18" w:rsidP="009A0D0F">
            <w:pPr>
              <w:spacing w:line="240" w:lineRule="auto"/>
              <w:jc w:val="both"/>
              <w:rPr>
                <w:sz w:val="21"/>
                <w:szCs w:val="21"/>
              </w:rPr>
            </w:pPr>
            <w:r w:rsidRPr="004E0F02">
              <w:rPr>
                <w:sz w:val="21"/>
                <w:szCs w:val="21"/>
              </w:rPr>
              <w:t>Można założyć, że część zbiorów danych</w:t>
            </w:r>
            <w:r w:rsidR="00AF626C" w:rsidRPr="004E0F02">
              <w:rPr>
                <w:sz w:val="21"/>
                <w:szCs w:val="21"/>
              </w:rPr>
              <w:t xml:space="preserve"> o </w:t>
            </w:r>
            <w:r w:rsidRPr="004E0F02">
              <w:rPr>
                <w:sz w:val="21"/>
                <w:szCs w:val="21"/>
              </w:rPr>
              <w:t>wysokiej wartości ujętych</w:t>
            </w:r>
            <w:r w:rsidR="00AF626C" w:rsidRPr="004E0F02">
              <w:rPr>
                <w:sz w:val="21"/>
                <w:szCs w:val="21"/>
              </w:rPr>
              <w:t xml:space="preserve"> w </w:t>
            </w:r>
            <w:r w:rsidRPr="004E0F02">
              <w:rPr>
                <w:sz w:val="21"/>
                <w:szCs w:val="21"/>
              </w:rPr>
              <w:t>akcie wykonawczym do dyrektywy 2019/1024/UE obejmie dane, które już obecnie są udostępniane poprzez API (już teraz jako przykład takich danych można wskazać dane statystyczne). Wówczas koszty wdrożenia ulegną znacznej redukcji.</w:t>
            </w:r>
          </w:p>
        </w:tc>
      </w:tr>
      <w:tr w:rsidR="00CE2D18" w:rsidRPr="004E0F02" w14:paraId="1AD2BB48" w14:textId="77777777" w:rsidTr="0001659E">
        <w:trPr>
          <w:trHeight w:val="345"/>
        </w:trPr>
        <w:tc>
          <w:tcPr>
            <w:tcW w:w="5000" w:type="pct"/>
            <w:gridSpan w:val="27"/>
            <w:shd w:val="clear" w:color="auto" w:fill="99CCFF"/>
          </w:tcPr>
          <w:p w14:paraId="1BE77DD3" w14:textId="77777777" w:rsidR="00CE2D18" w:rsidRPr="004E0F02" w:rsidRDefault="00CE2D18" w:rsidP="009346F9">
            <w:pPr>
              <w:widowControl/>
              <w:numPr>
                <w:ilvl w:val="0"/>
                <w:numId w:val="1"/>
              </w:numPr>
              <w:autoSpaceDE/>
              <w:autoSpaceDN/>
              <w:adjustRightInd/>
              <w:spacing w:before="120" w:after="120" w:line="240" w:lineRule="auto"/>
              <w:jc w:val="both"/>
              <w:rPr>
                <w:b/>
                <w:spacing w:val="-2"/>
              </w:rPr>
            </w:pPr>
            <w:r w:rsidRPr="004E0F02">
              <w:rPr>
                <w:b/>
                <w:spacing w:val="-2"/>
              </w:rPr>
              <w:lastRenderedPageBreak/>
              <w:t xml:space="preserve">Wpływ na </w:t>
            </w:r>
            <w:r w:rsidRPr="004E0F02">
              <w:rPr>
                <w:b/>
              </w:rPr>
              <w:t>konkurencyjność gospodarki</w:t>
            </w:r>
            <w:r w:rsidR="00AF626C" w:rsidRPr="004E0F02">
              <w:rPr>
                <w:b/>
              </w:rPr>
              <w:t xml:space="preserve"> i </w:t>
            </w:r>
            <w:r w:rsidRPr="004E0F02">
              <w:rPr>
                <w:b/>
              </w:rPr>
              <w:t>przedsiębiorczość,</w:t>
            </w:r>
            <w:r w:rsidR="00AF626C" w:rsidRPr="004E0F02">
              <w:rPr>
                <w:b/>
              </w:rPr>
              <w:t xml:space="preserve"> w </w:t>
            </w:r>
            <w:r w:rsidRPr="004E0F02">
              <w:rPr>
                <w:b/>
              </w:rPr>
              <w:t>tym funkcjonowanie przedsiębiorców oraz na rodzinę, obywateli</w:t>
            </w:r>
            <w:r w:rsidR="00AF626C" w:rsidRPr="004E0F02">
              <w:rPr>
                <w:b/>
              </w:rPr>
              <w:t xml:space="preserve"> i </w:t>
            </w:r>
            <w:r w:rsidRPr="004E0F02">
              <w:rPr>
                <w:b/>
              </w:rPr>
              <w:t xml:space="preserve">gospodarstwa domowe </w:t>
            </w:r>
          </w:p>
        </w:tc>
      </w:tr>
      <w:tr w:rsidR="00CE2D18" w:rsidRPr="004E0F02" w14:paraId="189CAA91" w14:textId="77777777" w:rsidTr="0001659E">
        <w:trPr>
          <w:trHeight w:val="142"/>
        </w:trPr>
        <w:tc>
          <w:tcPr>
            <w:tcW w:w="5000" w:type="pct"/>
            <w:gridSpan w:val="27"/>
            <w:shd w:val="clear" w:color="auto" w:fill="FFFFFF"/>
          </w:tcPr>
          <w:p w14:paraId="21677267" w14:textId="77777777" w:rsidR="00CE2D18" w:rsidRPr="004E0F02" w:rsidRDefault="00CE2D18" w:rsidP="009A0D0F">
            <w:pPr>
              <w:spacing w:line="240" w:lineRule="auto"/>
              <w:jc w:val="center"/>
              <w:rPr>
                <w:spacing w:val="-2"/>
                <w:sz w:val="21"/>
                <w:szCs w:val="21"/>
              </w:rPr>
            </w:pPr>
            <w:r w:rsidRPr="004E0F02">
              <w:rPr>
                <w:spacing w:val="-2"/>
                <w:sz w:val="21"/>
                <w:szCs w:val="21"/>
              </w:rPr>
              <w:t>Skutki</w:t>
            </w:r>
          </w:p>
        </w:tc>
      </w:tr>
      <w:tr w:rsidR="00DC72CF" w:rsidRPr="004E0F02" w14:paraId="5B670529" w14:textId="77777777" w:rsidTr="00FE76F2">
        <w:trPr>
          <w:trHeight w:val="142"/>
        </w:trPr>
        <w:tc>
          <w:tcPr>
            <w:tcW w:w="1894" w:type="pct"/>
            <w:gridSpan w:val="7"/>
            <w:shd w:val="clear" w:color="auto" w:fill="FFFFFF"/>
          </w:tcPr>
          <w:p w14:paraId="4D484BA6" w14:textId="77777777" w:rsidR="00CE2D18" w:rsidRPr="004E0F02" w:rsidRDefault="00CE2D18" w:rsidP="009A0D0F">
            <w:pPr>
              <w:spacing w:line="240" w:lineRule="auto"/>
              <w:rPr>
                <w:sz w:val="21"/>
                <w:szCs w:val="21"/>
              </w:rPr>
            </w:pPr>
            <w:r w:rsidRPr="004E0F02">
              <w:rPr>
                <w:sz w:val="21"/>
                <w:szCs w:val="21"/>
              </w:rPr>
              <w:t>Czas</w:t>
            </w:r>
            <w:r w:rsidR="00AF626C" w:rsidRPr="004E0F02">
              <w:rPr>
                <w:sz w:val="21"/>
                <w:szCs w:val="21"/>
              </w:rPr>
              <w:t xml:space="preserve"> w </w:t>
            </w:r>
            <w:r w:rsidRPr="004E0F02">
              <w:rPr>
                <w:sz w:val="21"/>
                <w:szCs w:val="21"/>
              </w:rPr>
              <w:t>latach od wejścia</w:t>
            </w:r>
            <w:r w:rsidR="00AF626C" w:rsidRPr="004E0F02">
              <w:rPr>
                <w:sz w:val="21"/>
                <w:szCs w:val="21"/>
              </w:rPr>
              <w:t xml:space="preserve"> w </w:t>
            </w:r>
            <w:r w:rsidRPr="004E0F02">
              <w:rPr>
                <w:sz w:val="21"/>
                <w:szCs w:val="21"/>
              </w:rPr>
              <w:t>życie zmian</w:t>
            </w:r>
          </w:p>
        </w:tc>
        <w:tc>
          <w:tcPr>
            <w:tcW w:w="294" w:type="pct"/>
            <w:gridSpan w:val="2"/>
            <w:shd w:val="clear" w:color="auto" w:fill="FFFFFF"/>
          </w:tcPr>
          <w:p w14:paraId="698B0A60" w14:textId="77777777" w:rsidR="00CE2D18" w:rsidRPr="004E0F02" w:rsidRDefault="00CE2D18" w:rsidP="009A0D0F">
            <w:pPr>
              <w:spacing w:line="240" w:lineRule="auto"/>
              <w:jc w:val="center"/>
              <w:rPr>
                <w:sz w:val="21"/>
                <w:szCs w:val="21"/>
              </w:rPr>
            </w:pPr>
            <w:r w:rsidRPr="004E0F02">
              <w:rPr>
                <w:sz w:val="21"/>
                <w:szCs w:val="21"/>
              </w:rPr>
              <w:t>0</w:t>
            </w:r>
          </w:p>
        </w:tc>
        <w:tc>
          <w:tcPr>
            <w:tcW w:w="525" w:type="pct"/>
            <w:gridSpan w:val="4"/>
            <w:shd w:val="clear" w:color="auto" w:fill="FFFFFF"/>
          </w:tcPr>
          <w:p w14:paraId="1619F45F" w14:textId="77777777" w:rsidR="00CE2D18" w:rsidRPr="004E0F02" w:rsidRDefault="00CE2D18" w:rsidP="009A0D0F">
            <w:pPr>
              <w:spacing w:line="240" w:lineRule="auto"/>
              <w:jc w:val="center"/>
              <w:rPr>
                <w:sz w:val="21"/>
                <w:szCs w:val="21"/>
              </w:rPr>
            </w:pPr>
            <w:r w:rsidRPr="004E0F02">
              <w:rPr>
                <w:sz w:val="21"/>
                <w:szCs w:val="21"/>
              </w:rPr>
              <w:t>1</w:t>
            </w:r>
          </w:p>
        </w:tc>
        <w:tc>
          <w:tcPr>
            <w:tcW w:w="667" w:type="pct"/>
            <w:gridSpan w:val="5"/>
            <w:shd w:val="clear" w:color="auto" w:fill="FFFFFF"/>
          </w:tcPr>
          <w:p w14:paraId="7CC09EC6" w14:textId="77777777" w:rsidR="00CE2D18" w:rsidRPr="004E0F02" w:rsidRDefault="00CE2D18" w:rsidP="009A0D0F">
            <w:pPr>
              <w:spacing w:line="240" w:lineRule="auto"/>
              <w:jc w:val="center"/>
              <w:rPr>
                <w:sz w:val="21"/>
                <w:szCs w:val="21"/>
              </w:rPr>
            </w:pPr>
            <w:r w:rsidRPr="004E0F02">
              <w:rPr>
                <w:sz w:val="21"/>
                <w:szCs w:val="21"/>
              </w:rPr>
              <w:t>2</w:t>
            </w:r>
          </w:p>
        </w:tc>
        <w:tc>
          <w:tcPr>
            <w:tcW w:w="447" w:type="pct"/>
            <w:gridSpan w:val="4"/>
            <w:shd w:val="clear" w:color="auto" w:fill="FFFFFF"/>
          </w:tcPr>
          <w:p w14:paraId="04980FF7" w14:textId="77777777" w:rsidR="00CE2D18" w:rsidRPr="004E0F02" w:rsidRDefault="00CE2D18" w:rsidP="009A0D0F">
            <w:pPr>
              <w:spacing w:line="240" w:lineRule="auto"/>
              <w:jc w:val="center"/>
              <w:rPr>
                <w:sz w:val="21"/>
                <w:szCs w:val="21"/>
              </w:rPr>
            </w:pPr>
            <w:r w:rsidRPr="004E0F02">
              <w:rPr>
                <w:sz w:val="21"/>
                <w:szCs w:val="21"/>
              </w:rPr>
              <w:t>3</w:t>
            </w:r>
          </w:p>
        </w:tc>
        <w:tc>
          <w:tcPr>
            <w:tcW w:w="559" w:type="pct"/>
            <w:gridSpan w:val="2"/>
            <w:shd w:val="clear" w:color="auto" w:fill="FFFFFF"/>
          </w:tcPr>
          <w:p w14:paraId="58A917EC" w14:textId="77777777" w:rsidR="00CE2D18" w:rsidRPr="004E0F02" w:rsidRDefault="00CE2D18" w:rsidP="009A0D0F">
            <w:pPr>
              <w:spacing w:line="240" w:lineRule="auto"/>
              <w:jc w:val="center"/>
              <w:rPr>
                <w:sz w:val="21"/>
                <w:szCs w:val="21"/>
              </w:rPr>
            </w:pPr>
            <w:r w:rsidRPr="004E0F02">
              <w:rPr>
                <w:sz w:val="21"/>
                <w:szCs w:val="21"/>
              </w:rPr>
              <w:t>5</w:t>
            </w:r>
          </w:p>
        </w:tc>
        <w:tc>
          <w:tcPr>
            <w:tcW w:w="392" w:type="pct"/>
            <w:gridSpan w:val="2"/>
            <w:shd w:val="clear" w:color="auto" w:fill="FFFFFF"/>
          </w:tcPr>
          <w:p w14:paraId="6A07A47B" w14:textId="77777777" w:rsidR="00CE2D18" w:rsidRPr="004E0F02" w:rsidRDefault="00CE2D18" w:rsidP="009A0D0F">
            <w:pPr>
              <w:spacing w:line="240" w:lineRule="auto"/>
              <w:jc w:val="center"/>
              <w:rPr>
                <w:sz w:val="21"/>
                <w:szCs w:val="21"/>
              </w:rPr>
            </w:pPr>
            <w:r w:rsidRPr="004E0F02">
              <w:rPr>
                <w:sz w:val="21"/>
                <w:szCs w:val="21"/>
              </w:rPr>
              <w:t>10</w:t>
            </w:r>
          </w:p>
        </w:tc>
        <w:tc>
          <w:tcPr>
            <w:tcW w:w="222" w:type="pct"/>
            <w:shd w:val="clear" w:color="auto" w:fill="FFFFFF"/>
          </w:tcPr>
          <w:p w14:paraId="423DE42A" w14:textId="730B0FE4" w:rsidR="00CE2D18" w:rsidRPr="004E0F02" w:rsidRDefault="00CE2D18" w:rsidP="009A0D0F">
            <w:pPr>
              <w:spacing w:line="240" w:lineRule="auto"/>
              <w:jc w:val="center"/>
              <w:rPr>
                <w:i/>
                <w:spacing w:val="-2"/>
                <w:sz w:val="21"/>
                <w:szCs w:val="21"/>
              </w:rPr>
            </w:pPr>
            <w:r w:rsidRPr="004E0F02">
              <w:rPr>
                <w:i/>
                <w:spacing w:val="-2"/>
                <w:sz w:val="21"/>
                <w:szCs w:val="21"/>
              </w:rPr>
              <w:t>Łącznie</w:t>
            </w:r>
            <w:r w:rsidRPr="004E0F02" w:rsidDel="0073273A">
              <w:rPr>
                <w:i/>
                <w:spacing w:val="-2"/>
                <w:sz w:val="21"/>
                <w:szCs w:val="21"/>
              </w:rPr>
              <w:t xml:space="preserve"> </w:t>
            </w:r>
            <w:r w:rsidRPr="004E0F02">
              <w:rPr>
                <w:i/>
                <w:spacing w:val="-2"/>
                <w:sz w:val="21"/>
                <w:szCs w:val="21"/>
              </w:rPr>
              <w:t>(</w:t>
            </w:r>
            <w:r w:rsidR="00E45B1D" w:rsidRPr="004E0F02">
              <w:rPr>
                <w:i/>
                <w:spacing w:val="-2"/>
                <w:sz w:val="21"/>
                <w:szCs w:val="21"/>
              </w:rPr>
              <w:t>0</w:t>
            </w:r>
            <w:r w:rsidR="00E45B1D" w:rsidRPr="004E0F02">
              <w:rPr>
                <w:i/>
                <w:spacing w:val="-2"/>
                <w:sz w:val="21"/>
                <w:szCs w:val="21"/>
              </w:rPr>
              <w:noBreakHyphen/>
            </w:r>
            <w:r w:rsidRPr="004E0F02">
              <w:rPr>
                <w:i/>
                <w:spacing w:val="-2"/>
                <w:sz w:val="21"/>
                <w:szCs w:val="21"/>
              </w:rPr>
              <w:t>10)</w:t>
            </w:r>
          </w:p>
        </w:tc>
      </w:tr>
      <w:tr w:rsidR="00346AAE" w:rsidRPr="004E0F02" w14:paraId="230611A0" w14:textId="77777777" w:rsidTr="00346AAE">
        <w:trPr>
          <w:trHeight w:val="142"/>
        </w:trPr>
        <w:tc>
          <w:tcPr>
            <w:tcW w:w="389" w:type="pct"/>
            <w:vMerge w:val="restart"/>
            <w:shd w:val="clear" w:color="auto" w:fill="FFFFFF"/>
          </w:tcPr>
          <w:p w14:paraId="1A3DD0EF" w14:textId="77777777" w:rsidR="00346AAE" w:rsidRPr="004E0F02" w:rsidRDefault="00346AAE" w:rsidP="009A0D0F">
            <w:pPr>
              <w:rPr>
                <w:sz w:val="21"/>
                <w:szCs w:val="21"/>
              </w:rPr>
            </w:pPr>
            <w:r w:rsidRPr="004E0F02">
              <w:rPr>
                <w:sz w:val="21"/>
                <w:szCs w:val="21"/>
              </w:rPr>
              <w:t>W ujęci</w:t>
            </w:r>
            <w:r w:rsidRPr="004E0F02">
              <w:rPr>
                <w:sz w:val="21"/>
                <w:szCs w:val="21"/>
              </w:rPr>
              <w:lastRenderedPageBreak/>
              <w:t>u pieniężnym</w:t>
            </w:r>
          </w:p>
          <w:p w14:paraId="50852EE6" w14:textId="77777777" w:rsidR="00346AAE" w:rsidRPr="004E0F02" w:rsidRDefault="00346AAE" w:rsidP="009A0D0F">
            <w:pPr>
              <w:rPr>
                <w:spacing w:val="-2"/>
                <w:sz w:val="21"/>
                <w:szCs w:val="21"/>
              </w:rPr>
            </w:pPr>
            <w:r w:rsidRPr="004E0F02">
              <w:rPr>
                <w:spacing w:val="-2"/>
                <w:sz w:val="21"/>
                <w:szCs w:val="21"/>
              </w:rPr>
              <w:t xml:space="preserve">(w mln zł, </w:t>
            </w:r>
          </w:p>
          <w:p w14:paraId="206511BC" w14:textId="77777777" w:rsidR="00346AAE" w:rsidRPr="004E0F02" w:rsidRDefault="00346AAE" w:rsidP="009A0D0F">
            <w:pPr>
              <w:spacing w:line="240" w:lineRule="auto"/>
              <w:rPr>
                <w:sz w:val="21"/>
                <w:szCs w:val="21"/>
              </w:rPr>
            </w:pPr>
            <w:r w:rsidRPr="004E0F02">
              <w:rPr>
                <w:spacing w:val="-2"/>
                <w:sz w:val="21"/>
                <w:szCs w:val="21"/>
              </w:rPr>
              <w:t>ceny stałe z …… r.)</w:t>
            </w:r>
          </w:p>
        </w:tc>
        <w:tc>
          <w:tcPr>
            <w:tcW w:w="1505" w:type="pct"/>
            <w:gridSpan w:val="6"/>
            <w:shd w:val="clear" w:color="auto" w:fill="FFFFFF"/>
          </w:tcPr>
          <w:p w14:paraId="60662D84" w14:textId="77777777" w:rsidR="00346AAE" w:rsidRPr="004E0F02" w:rsidRDefault="00346AAE" w:rsidP="009A0D0F">
            <w:pPr>
              <w:spacing w:line="240" w:lineRule="auto"/>
              <w:rPr>
                <w:sz w:val="21"/>
                <w:szCs w:val="21"/>
              </w:rPr>
            </w:pPr>
            <w:r w:rsidRPr="004E0F02">
              <w:rPr>
                <w:sz w:val="21"/>
                <w:szCs w:val="21"/>
              </w:rPr>
              <w:lastRenderedPageBreak/>
              <w:t>duże przedsiębiorstwa</w:t>
            </w:r>
          </w:p>
        </w:tc>
        <w:tc>
          <w:tcPr>
            <w:tcW w:w="3106" w:type="pct"/>
            <w:gridSpan w:val="20"/>
            <w:vMerge w:val="restart"/>
            <w:shd w:val="clear" w:color="auto" w:fill="FFFFFF"/>
          </w:tcPr>
          <w:p w14:paraId="6317CC50" w14:textId="190F3E8C" w:rsidR="00346AAE" w:rsidRPr="004E0F02" w:rsidRDefault="00346AAE" w:rsidP="00346AAE">
            <w:pPr>
              <w:spacing w:line="240" w:lineRule="auto"/>
              <w:rPr>
                <w:spacing w:val="-2"/>
                <w:sz w:val="21"/>
                <w:szCs w:val="21"/>
              </w:rPr>
            </w:pPr>
            <w:r w:rsidRPr="004E0F02">
              <w:rPr>
                <w:spacing w:val="-2"/>
                <w:sz w:val="21"/>
                <w:szCs w:val="21"/>
              </w:rPr>
              <w:t>Kwota trudna do oszacowania.</w:t>
            </w:r>
          </w:p>
        </w:tc>
      </w:tr>
      <w:tr w:rsidR="00346AAE" w:rsidRPr="004E0F02" w14:paraId="4A700015" w14:textId="77777777" w:rsidTr="00346AAE">
        <w:trPr>
          <w:trHeight w:val="142"/>
        </w:trPr>
        <w:tc>
          <w:tcPr>
            <w:tcW w:w="389" w:type="pct"/>
            <w:vMerge/>
            <w:shd w:val="clear" w:color="auto" w:fill="FFFFFF"/>
          </w:tcPr>
          <w:p w14:paraId="3ADEE491" w14:textId="77777777" w:rsidR="00346AAE" w:rsidRPr="004E0F02" w:rsidRDefault="00346AAE" w:rsidP="009A0D0F">
            <w:pPr>
              <w:spacing w:line="240" w:lineRule="auto"/>
              <w:rPr>
                <w:sz w:val="21"/>
                <w:szCs w:val="21"/>
              </w:rPr>
            </w:pPr>
          </w:p>
        </w:tc>
        <w:tc>
          <w:tcPr>
            <w:tcW w:w="1505" w:type="pct"/>
            <w:gridSpan w:val="6"/>
            <w:shd w:val="clear" w:color="auto" w:fill="FFFFFF"/>
          </w:tcPr>
          <w:p w14:paraId="13F3666B" w14:textId="0D733684" w:rsidR="00346AAE" w:rsidRPr="004E0F02" w:rsidRDefault="00346AAE" w:rsidP="009A0D0F">
            <w:pPr>
              <w:spacing w:line="240" w:lineRule="auto"/>
              <w:rPr>
                <w:sz w:val="21"/>
                <w:szCs w:val="21"/>
              </w:rPr>
            </w:pPr>
            <w:r w:rsidRPr="004E0F02">
              <w:rPr>
                <w:sz w:val="21"/>
                <w:szCs w:val="21"/>
              </w:rPr>
              <w:t>sektor mikro</w:t>
            </w:r>
            <w:r w:rsidRPr="004E0F02">
              <w:rPr>
                <w:sz w:val="21"/>
                <w:szCs w:val="21"/>
              </w:rPr>
              <w:noBreakHyphen/>
              <w:t>, małych i średnich przedsiębiorstw</w:t>
            </w:r>
          </w:p>
        </w:tc>
        <w:tc>
          <w:tcPr>
            <w:tcW w:w="3106" w:type="pct"/>
            <w:gridSpan w:val="20"/>
            <w:vMerge/>
            <w:shd w:val="clear" w:color="auto" w:fill="FFFFFF"/>
          </w:tcPr>
          <w:p w14:paraId="511269C1" w14:textId="77777777" w:rsidR="00346AAE" w:rsidRPr="004E0F02" w:rsidRDefault="00346AAE" w:rsidP="009A0D0F">
            <w:pPr>
              <w:spacing w:line="240" w:lineRule="auto"/>
              <w:rPr>
                <w:spacing w:val="-2"/>
                <w:sz w:val="21"/>
                <w:szCs w:val="21"/>
              </w:rPr>
            </w:pPr>
          </w:p>
        </w:tc>
      </w:tr>
      <w:tr w:rsidR="00346AAE" w:rsidRPr="004E0F02" w14:paraId="0130EB3C" w14:textId="77777777" w:rsidTr="00346AAE">
        <w:trPr>
          <w:trHeight w:val="142"/>
        </w:trPr>
        <w:tc>
          <w:tcPr>
            <w:tcW w:w="389" w:type="pct"/>
            <w:vMerge/>
            <w:shd w:val="clear" w:color="auto" w:fill="FFFFFF"/>
          </w:tcPr>
          <w:p w14:paraId="45BFFFD8" w14:textId="77777777" w:rsidR="00346AAE" w:rsidRPr="004E0F02" w:rsidRDefault="00346AAE" w:rsidP="009A0D0F">
            <w:pPr>
              <w:spacing w:line="240" w:lineRule="auto"/>
              <w:rPr>
                <w:sz w:val="21"/>
                <w:szCs w:val="21"/>
              </w:rPr>
            </w:pPr>
          </w:p>
        </w:tc>
        <w:tc>
          <w:tcPr>
            <w:tcW w:w="1505" w:type="pct"/>
            <w:gridSpan w:val="6"/>
            <w:shd w:val="clear" w:color="auto" w:fill="FFFFFF"/>
          </w:tcPr>
          <w:p w14:paraId="71C6CF9E" w14:textId="77777777" w:rsidR="00346AAE" w:rsidRPr="004E0F02" w:rsidRDefault="00346AAE" w:rsidP="009A0D0F">
            <w:pPr>
              <w:spacing w:line="240" w:lineRule="auto"/>
              <w:rPr>
                <w:sz w:val="21"/>
                <w:szCs w:val="21"/>
              </w:rPr>
            </w:pPr>
            <w:r w:rsidRPr="004E0F02">
              <w:rPr>
                <w:sz w:val="21"/>
                <w:szCs w:val="21"/>
              </w:rPr>
              <w:t xml:space="preserve">rodzina, obywatele oraz </w:t>
            </w:r>
            <w:r w:rsidRPr="004E0F02">
              <w:rPr>
                <w:sz w:val="21"/>
                <w:szCs w:val="21"/>
              </w:rPr>
              <w:lastRenderedPageBreak/>
              <w:t>gospodarstwa domowe</w:t>
            </w:r>
          </w:p>
        </w:tc>
        <w:tc>
          <w:tcPr>
            <w:tcW w:w="3106" w:type="pct"/>
            <w:gridSpan w:val="20"/>
            <w:vMerge/>
            <w:shd w:val="clear" w:color="auto" w:fill="FFFFFF"/>
          </w:tcPr>
          <w:p w14:paraId="3899D945" w14:textId="77777777" w:rsidR="00346AAE" w:rsidRPr="004E0F02" w:rsidRDefault="00346AAE" w:rsidP="009A0D0F">
            <w:pPr>
              <w:spacing w:line="240" w:lineRule="auto"/>
              <w:rPr>
                <w:spacing w:val="-2"/>
                <w:sz w:val="21"/>
                <w:szCs w:val="21"/>
              </w:rPr>
            </w:pPr>
          </w:p>
        </w:tc>
      </w:tr>
      <w:tr w:rsidR="00DC72CF" w:rsidRPr="004E0F02" w14:paraId="1510820B" w14:textId="77777777" w:rsidTr="00B131AC">
        <w:trPr>
          <w:trHeight w:val="142"/>
        </w:trPr>
        <w:tc>
          <w:tcPr>
            <w:tcW w:w="389" w:type="pct"/>
            <w:vMerge/>
            <w:shd w:val="clear" w:color="auto" w:fill="FFFFFF"/>
          </w:tcPr>
          <w:p w14:paraId="4CBD14FE" w14:textId="77777777" w:rsidR="00CE2D18" w:rsidRPr="004E0F02" w:rsidRDefault="00CE2D18" w:rsidP="009A0D0F">
            <w:pPr>
              <w:spacing w:line="240" w:lineRule="auto"/>
              <w:rPr>
                <w:sz w:val="21"/>
                <w:szCs w:val="21"/>
              </w:rPr>
            </w:pPr>
          </w:p>
        </w:tc>
        <w:tc>
          <w:tcPr>
            <w:tcW w:w="1505" w:type="pct"/>
            <w:gridSpan w:val="6"/>
            <w:shd w:val="clear" w:color="auto" w:fill="FFFFFF"/>
          </w:tcPr>
          <w:p w14:paraId="0CDB36F5" w14:textId="77777777" w:rsidR="00CE2D18" w:rsidRPr="004E0F02" w:rsidRDefault="00CE2D18" w:rsidP="009A0D0F">
            <w:pPr>
              <w:spacing w:line="240" w:lineRule="auto"/>
              <w:rPr>
                <w:sz w:val="21"/>
                <w:szCs w:val="21"/>
              </w:rPr>
            </w:pPr>
            <w:r w:rsidRPr="004E0F02">
              <w:rPr>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4E0F02">
              <w:rPr>
                <w:sz w:val="21"/>
                <w:szCs w:val="21"/>
              </w:rPr>
              <w:instrText xml:space="preserve"> FORMTEXT </w:instrText>
            </w:r>
            <w:r w:rsidRPr="004E0F02">
              <w:rPr>
                <w:sz w:val="21"/>
                <w:szCs w:val="21"/>
              </w:rPr>
            </w:r>
            <w:r w:rsidRPr="004E0F02">
              <w:rPr>
                <w:sz w:val="21"/>
                <w:szCs w:val="21"/>
              </w:rPr>
              <w:fldChar w:fldCharType="separate"/>
            </w:r>
            <w:r w:rsidRPr="004E0F02">
              <w:rPr>
                <w:noProof/>
                <w:sz w:val="21"/>
                <w:szCs w:val="21"/>
              </w:rPr>
              <w:t>(dodaj/usuń)</w:t>
            </w:r>
            <w:r w:rsidRPr="004E0F02">
              <w:rPr>
                <w:sz w:val="21"/>
                <w:szCs w:val="21"/>
              </w:rPr>
              <w:fldChar w:fldCharType="end"/>
            </w:r>
          </w:p>
        </w:tc>
        <w:tc>
          <w:tcPr>
            <w:tcW w:w="294" w:type="pct"/>
            <w:gridSpan w:val="2"/>
            <w:shd w:val="clear" w:color="auto" w:fill="FFFFFF"/>
          </w:tcPr>
          <w:p w14:paraId="50D81C69" w14:textId="77777777" w:rsidR="00CE2D18" w:rsidRPr="004E0F02" w:rsidRDefault="00CE2D18" w:rsidP="009A0D0F">
            <w:pPr>
              <w:spacing w:line="240" w:lineRule="auto"/>
              <w:rPr>
                <w:sz w:val="21"/>
                <w:szCs w:val="21"/>
              </w:rPr>
            </w:pPr>
          </w:p>
        </w:tc>
        <w:tc>
          <w:tcPr>
            <w:tcW w:w="525" w:type="pct"/>
            <w:gridSpan w:val="4"/>
            <w:shd w:val="clear" w:color="auto" w:fill="FFFFFF"/>
          </w:tcPr>
          <w:p w14:paraId="0DC6C5F5" w14:textId="77777777" w:rsidR="00CE2D18" w:rsidRPr="004E0F02" w:rsidRDefault="00CE2D18" w:rsidP="009A0D0F">
            <w:pPr>
              <w:spacing w:line="240" w:lineRule="auto"/>
              <w:rPr>
                <w:sz w:val="21"/>
                <w:szCs w:val="21"/>
              </w:rPr>
            </w:pPr>
          </w:p>
        </w:tc>
        <w:tc>
          <w:tcPr>
            <w:tcW w:w="667" w:type="pct"/>
            <w:gridSpan w:val="5"/>
            <w:shd w:val="clear" w:color="auto" w:fill="FFFFFF"/>
          </w:tcPr>
          <w:p w14:paraId="1DA50B5E" w14:textId="77777777" w:rsidR="00CE2D18" w:rsidRPr="004E0F02" w:rsidRDefault="00CE2D18" w:rsidP="009A0D0F">
            <w:pPr>
              <w:spacing w:line="240" w:lineRule="auto"/>
              <w:rPr>
                <w:sz w:val="21"/>
                <w:szCs w:val="21"/>
              </w:rPr>
            </w:pPr>
          </w:p>
        </w:tc>
        <w:tc>
          <w:tcPr>
            <w:tcW w:w="447" w:type="pct"/>
            <w:gridSpan w:val="4"/>
            <w:shd w:val="clear" w:color="auto" w:fill="FFFFFF"/>
          </w:tcPr>
          <w:p w14:paraId="5FB1D3F0" w14:textId="77777777" w:rsidR="00CE2D18" w:rsidRPr="004E0F02" w:rsidRDefault="00CE2D18" w:rsidP="009A0D0F">
            <w:pPr>
              <w:spacing w:line="240" w:lineRule="auto"/>
              <w:rPr>
                <w:sz w:val="21"/>
                <w:szCs w:val="21"/>
              </w:rPr>
            </w:pPr>
          </w:p>
        </w:tc>
        <w:tc>
          <w:tcPr>
            <w:tcW w:w="559" w:type="pct"/>
            <w:gridSpan w:val="2"/>
            <w:shd w:val="clear" w:color="auto" w:fill="FFFFFF"/>
          </w:tcPr>
          <w:p w14:paraId="441C8045" w14:textId="77777777" w:rsidR="00CE2D18" w:rsidRPr="004E0F02" w:rsidRDefault="00CE2D18" w:rsidP="009A0D0F">
            <w:pPr>
              <w:spacing w:line="240" w:lineRule="auto"/>
              <w:rPr>
                <w:sz w:val="21"/>
                <w:szCs w:val="21"/>
              </w:rPr>
            </w:pPr>
          </w:p>
        </w:tc>
        <w:tc>
          <w:tcPr>
            <w:tcW w:w="392" w:type="pct"/>
            <w:gridSpan w:val="2"/>
            <w:shd w:val="clear" w:color="auto" w:fill="FFFFFF"/>
          </w:tcPr>
          <w:p w14:paraId="1471A7FE" w14:textId="77777777" w:rsidR="00CE2D18" w:rsidRPr="004E0F02" w:rsidRDefault="00CE2D18" w:rsidP="009A0D0F">
            <w:pPr>
              <w:spacing w:line="240" w:lineRule="auto"/>
              <w:rPr>
                <w:sz w:val="21"/>
                <w:szCs w:val="21"/>
              </w:rPr>
            </w:pPr>
          </w:p>
        </w:tc>
        <w:tc>
          <w:tcPr>
            <w:tcW w:w="222" w:type="pct"/>
            <w:shd w:val="clear" w:color="auto" w:fill="FFFFFF"/>
          </w:tcPr>
          <w:p w14:paraId="67467557" w14:textId="77777777" w:rsidR="00CE2D18" w:rsidRPr="004E0F02" w:rsidRDefault="00CE2D18" w:rsidP="009A0D0F">
            <w:pPr>
              <w:spacing w:line="240" w:lineRule="auto"/>
              <w:rPr>
                <w:spacing w:val="-2"/>
                <w:sz w:val="21"/>
                <w:szCs w:val="21"/>
              </w:rPr>
            </w:pPr>
          </w:p>
        </w:tc>
      </w:tr>
      <w:tr w:rsidR="00CE2D18" w:rsidRPr="004E0F02" w14:paraId="1C8C7C86" w14:textId="77777777" w:rsidTr="00B131AC">
        <w:trPr>
          <w:trHeight w:val="142"/>
        </w:trPr>
        <w:tc>
          <w:tcPr>
            <w:tcW w:w="389" w:type="pct"/>
            <w:vMerge w:val="restart"/>
            <w:shd w:val="clear" w:color="auto" w:fill="FFFFFF"/>
          </w:tcPr>
          <w:p w14:paraId="3559A801" w14:textId="77777777" w:rsidR="00CE2D18" w:rsidRPr="004E0F02" w:rsidRDefault="00CE2D18" w:rsidP="009A0D0F">
            <w:pPr>
              <w:spacing w:line="240" w:lineRule="auto"/>
              <w:rPr>
                <w:sz w:val="21"/>
                <w:szCs w:val="21"/>
              </w:rPr>
            </w:pPr>
            <w:r w:rsidRPr="004E0F02">
              <w:rPr>
                <w:sz w:val="21"/>
                <w:szCs w:val="21"/>
              </w:rPr>
              <w:t>W ujęciu niepieniężnym</w:t>
            </w:r>
          </w:p>
        </w:tc>
        <w:tc>
          <w:tcPr>
            <w:tcW w:w="1505" w:type="pct"/>
            <w:gridSpan w:val="6"/>
            <w:shd w:val="clear" w:color="auto" w:fill="FFFFFF"/>
          </w:tcPr>
          <w:p w14:paraId="4B8EF731" w14:textId="77777777" w:rsidR="00CE2D18" w:rsidRPr="004E0F02" w:rsidRDefault="00CE2D18" w:rsidP="009A0D0F">
            <w:pPr>
              <w:spacing w:line="240" w:lineRule="auto"/>
              <w:rPr>
                <w:sz w:val="21"/>
                <w:szCs w:val="21"/>
              </w:rPr>
            </w:pPr>
            <w:r w:rsidRPr="004E0F02">
              <w:rPr>
                <w:sz w:val="21"/>
                <w:szCs w:val="21"/>
              </w:rPr>
              <w:t>duże przedsiębiorstwa</w:t>
            </w:r>
          </w:p>
        </w:tc>
        <w:tc>
          <w:tcPr>
            <w:tcW w:w="3106" w:type="pct"/>
            <w:gridSpan w:val="20"/>
            <w:shd w:val="clear" w:color="auto" w:fill="FFFFFF"/>
          </w:tcPr>
          <w:p w14:paraId="46AE01EB" w14:textId="77777777" w:rsidR="00CE2D18" w:rsidRPr="004E0F02" w:rsidRDefault="00CE2D18" w:rsidP="009A0D0F">
            <w:pPr>
              <w:spacing w:line="240" w:lineRule="auto"/>
              <w:rPr>
                <w:spacing w:val="-2"/>
                <w:sz w:val="21"/>
                <w:szCs w:val="21"/>
              </w:rPr>
            </w:pPr>
          </w:p>
        </w:tc>
      </w:tr>
      <w:tr w:rsidR="00CE2D18" w:rsidRPr="004E0F02" w14:paraId="0F507013" w14:textId="77777777" w:rsidTr="00B131AC">
        <w:trPr>
          <w:trHeight w:val="142"/>
        </w:trPr>
        <w:tc>
          <w:tcPr>
            <w:tcW w:w="389" w:type="pct"/>
            <w:vMerge/>
            <w:shd w:val="clear" w:color="auto" w:fill="FFFFFF"/>
          </w:tcPr>
          <w:p w14:paraId="5491E696" w14:textId="77777777" w:rsidR="00CE2D18" w:rsidRPr="004E0F02" w:rsidRDefault="00CE2D18" w:rsidP="009A0D0F">
            <w:pPr>
              <w:spacing w:line="240" w:lineRule="auto"/>
              <w:rPr>
                <w:sz w:val="21"/>
                <w:szCs w:val="21"/>
              </w:rPr>
            </w:pPr>
          </w:p>
        </w:tc>
        <w:tc>
          <w:tcPr>
            <w:tcW w:w="1505" w:type="pct"/>
            <w:gridSpan w:val="6"/>
            <w:shd w:val="clear" w:color="auto" w:fill="FFFFFF"/>
          </w:tcPr>
          <w:p w14:paraId="7C47F463" w14:textId="2FCA4AC8" w:rsidR="00CE2D18" w:rsidRPr="004E0F02" w:rsidRDefault="00CE2D18" w:rsidP="009A0D0F">
            <w:pPr>
              <w:spacing w:line="240" w:lineRule="auto"/>
              <w:rPr>
                <w:sz w:val="21"/>
                <w:szCs w:val="21"/>
              </w:rPr>
            </w:pPr>
            <w:r w:rsidRPr="004E0F02">
              <w:rPr>
                <w:sz w:val="21"/>
                <w:szCs w:val="21"/>
              </w:rPr>
              <w:t>sektor mikro</w:t>
            </w:r>
            <w:r w:rsidR="00E45B1D" w:rsidRPr="004E0F02">
              <w:rPr>
                <w:sz w:val="21"/>
                <w:szCs w:val="21"/>
              </w:rPr>
              <w:noBreakHyphen/>
              <w:t>,</w:t>
            </w:r>
            <w:r w:rsidRPr="004E0F02">
              <w:rPr>
                <w:sz w:val="21"/>
                <w:szCs w:val="21"/>
              </w:rPr>
              <w:t xml:space="preserve"> małych</w:t>
            </w:r>
            <w:r w:rsidR="00AF626C" w:rsidRPr="004E0F02">
              <w:rPr>
                <w:sz w:val="21"/>
                <w:szCs w:val="21"/>
              </w:rPr>
              <w:t xml:space="preserve"> i </w:t>
            </w:r>
            <w:r w:rsidRPr="004E0F02">
              <w:rPr>
                <w:sz w:val="21"/>
                <w:szCs w:val="21"/>
              </w:rPr>
              <w:t>średnich przedsiębiorstw</w:t>
            </w:r>
          </w:p>
        </w:tc>
        <w:tc>
          <w:tcPr>
            <w:tcW w:w="3106" w:type="pct"/>
            <w:gridSpan w:val="20"/>
            <w:shd w:val="clear" w:color="auto" w:fill="FFFFFF"/>
          </w:tcPr>
          <w:p w14:paraId="6F776961" w14:textId="36F53800" w:rsidR="00CE2D18" w:rsidRPr="004E0F02" w:rsidRDefault="00CE2D18" w:rsidP="009A0D0F">
            <w:pPr>
              <w:spacing w:line="240" w:lineRule="auto"/>
              <w:jc w:val="both"/>
              <w:rPr>
                <w:spacing w:val="-2"/>
                <w:sz w:val="21"/>
                <w:szCs w:val="21"/>
              </w:rPr>
            </w:pPr>
            <w:r w:rsidRPr="004E0F02">
              <w:rPr>
                <w:spacing w:val="-2"/>
                <w:sz w:val="21"/>
                <w:szCs w:val="21"/>
              </w:rPr>
              <w:t>Przedsiębiorcy mogą wykorzystywać otwarte dane publiczne</w:t>
            </w:r>
            <w:r w:rsidR="00AF626C" w:rsidRPr="004E0F02">
              <w:rPr>
                <w:spacing w:val="-2"/>
                <w:sz w:val="21"/>
                <w:szCs w:val="21"/>
              </w:rPr>
              <w:t xml:space="preserve"> w </w:t>
            </w:r>
            <w:r w:rsidRPr="004E0F02">
              <w:rPr>
                <w:spacing w:val="-2"/>
                <w:sz w:val="21"/>
                <w:szCs w:val="21"/>
              </w:rPr>
              <w:t>dwojaki sposób: komercyjnie</w:t>
            </w:r>
            <w:r w:rsidR="00AF626C" w:rsidRPr="004E0F02">
              <w:rPr>
                <w:spacing w:val="-2"/>
                <w:sz w:val="21"/>
                <w:szCs w:val="21"/>
              </w:rPr>
              <w:t xml:space="preserve"> i </w:t>
            </w:r>
            <w:r w:rsidRPr="004E0F02">
              <w:rPr>
                <w:spacing w:val="-2"/>
                <w:sz w:val="21"/>
                <w:szCs w:val="21"/>
              </w:rPr>
              <w:t>niekomercyjnie. Cele komercyjne to tworzenie nowych produktów bądź usług (np. systemy nawigacyjne, lokalizacyjne, aplikacje na urządzenia mobilne), natomiast cele niekomercyjne to wykorzystywanie danych do analiz wewnętrznych</w:t>
            </w:r>
            <w:r w:rsidR="00AF626C" w:rsidRPr="004E0F02">
              <w:rPr>
                <w:spacing w:val="-2"/>
                <w:sz w:val="21"/>
                <w:szCs w:val="21"/>
              </w:rPr>
              <w:t xml:space="preserve"> w </w:t>
            </w:r>
            <w:r w:rsidRPr="004E0F02">
              <w:rPr>
                <w:spacing w:val="-2"/>
                <w:sz w:val="21"/>
                <w:szCs w:val="21"/>
              </w:rPr>
              <w:t>firmie czy prac naukowo</w:t>
            </w:r>
            <w:r w:rsidR="00AF626C" w:rsidRPr="004E0F02">
              <w:rPr>
                <w:spacing w:val="-2"/>
                <w:sz w:val="21"/>
                <w:szCs w:val="21"/>
              </w:rPr>
              <w:softHyphen/>
            </w:r>
            <w:r w:rsidR="00E45B1D" w:rsidRPr="004E0F02">
              <w:rPr>
                <w:spacing w:val="-2"/>
                <w:sz w:val="21"/>
                <w:szCs w:val="21"/>
              </w:rPr>
              <w:softHyphen/>
            </w:r>
            <w:r w:rsidR="00E45B1D" w:rsidRPr="004E0F02">
              <w:rPr>
                <w:spacing w:val="-2"/>
                <w:sz w:val="21"/>
                <w:szCs w:val="21"/>
              </w:rPr>
              <w:noBreakHyphen/>
            </w:r>
            <w:r w:rsidRPr="004E0F02">
              <w:rPr>
                <w:spacing w:val="-2"/>
                <w:sz w:val="21"/>
                <w:szCs w:val="21"/>
              </w:rPr>
              <w:t xml:space="preserve">badawczych. </w:t>
            </w:r>
          </w:p>
          <w:p w14:paraId="5312B256" w14:textId="77777777" w:rsidR="00CE2D18" w:rsidRPr="004E0F02" w:rsidRDefault="00CE2D18" w:rsidP="009A0D0F">
            <w:pPr>
              <w:spacing w:line="240" w:lineRule="auto"/>
              <w:jc w:val="both"/>
              <w:rPr>
                <w:spacing w:val="-2"/>
                <w:sz w:val="21"/>
                <w:szCs w:val="21"/>
              </w:rPr>
            </w:pPr>
            <w:r w:rsidRPr="004E0F02">
              <w:rPr>
                <w:spacing w:val="-2"/>
                <w:sz w:val="21"/>
                <w:szCs w:val="21"/>
              </w:rPr>
              <w:t>Możliwość ponownego wykorzystania przez przedsiębiorców informacji sektora publicznego stworzy szanse rozwojowe dla firm: np.</w:t>
            </w:r>
            <w:r w:rsidR="00AF626C" w:rsidRPr="004E0F02">
              <w:rPr>
                <w:spacing w:val="-2"/>
                <w:sz w:val="21"/>
                <w:szCs w:val="21"/>
              </w:rPr>
              <w:t xml:space="preserve"> w </w:t>
            </w:r>
            <w:r w:rsidRPr="004E0F02">
              <w:rPr>
                <w:spacing w:val="-2"/>
                <w:sz w:val="21"/>
                <w:szCs w:val="21"/>
              </w:rPr>
              <w:t>zwiększaniu efektywności wewnętrznej działalności firmy,</w:t>
            </w:r>
            <w:r w:rsidR="00AF626C" w:rsidRPr="004E0F02">
              <w:rPr>
                <w:spacing w:val="-2"/>
                <w:sz w:val="21"/>
                <w:szCs w:val="21"/>
              </w:rPr>
              <w:t xml:space="preserve"> w </w:t>
            </w:r>
            <w:r w:rsidRPr="004E0F02">
              <w:rPr>
                <w:spacing w:val="-2"/>
                <w:sz w:val="21"/>
                <w:szCs w:val="21"/>
              </w:rPr>
              <w:t>tworzeniu innowacyjnych usług lub produktów czy też</w:t>
            </w:r>
            <w:r w:rsidR="00AF626C" w:rsidRPr="004E0F02">
              <w:rPr>
                <w:spacing w:val="-2"/>
                <w:sz w:val="21"/>
                <w:szCs w:val="21"/>
              </w:rPr>
              <w:t xml:space="preserve"> w </w:t>
            </w:r>
            <w:r w:rsidRPr="004E0F02">
              <w:rPr>
                <w:spacing w:val="-2"/>
                <w:sz w:val="21"/>
                <w:szCs w:val="21"/>
              </w:rPr>
              <w:t>tworzeniu nowych modeli biznesowych</w:t>
            </w:r>
            <w:r w:rsidR="00AF626C" w:rsidRPr="004E0F02">
              <w:rPr>
                <w:spacing w:val="-2"/>
                <w:sz w:val="21"/>
                <w:szCs w:val="21"/>
              </w:rPr>
              <w:t xml:space="preserve"> a w </w:t>
            </w:r>
            <w:r w:rsidRPr="004E0F02">
              <w:rPr>
                <w:spacing w:val="-2"/>
                <w:sz w:val="21"/>
                <w:szCs w:val="21"/>
              </w:rPr>
              <w:t>efekcie –</w:t>
            </w:r>
            <w:r w:rsidR="00AF626C" w:rsidRPr="004E0F02">
              <w:rPr>
                <w:spacing w:val="-2"/>
                <w:sz w:val="21"/>
                <w:szCs w:val="21"/>
              </w:rPr>
              <w:t xml:space="preserve"> w </w:t>
            </w:r>
            <w:r w:rsidRPr="004E0F02">
              <w:rPr>
                <w:spacing w:val="-2"/>
                <w:sz w:val="21"/>
                <w:szCs w:val="21"/>
              </w:rPr>
              <w:t xml:space="preserve">budowaniu przewagi konkurencyjnej. </w:t>
            </w:r>
          </w:p>
        </w:tc>
      </w:tr>
      <w:tr w:rsidR="00CE2D18" w:rsidRPr="004E0F02" w14:paraId="7AF6DE1E" w14:textId="77777777" w:rsidTr="00B131AC">
        <w:trPr>
          <w:trHeight w:val="596"/>
        </w:trPr>
        <w:tc>
          <w:tcPr>
            <w:tcW w:w="389" w:type="pct"/>
            <w:vMerge/>
            <w:shd w:val="clear" w:color="auto" w:fill="FFFFFF"/>
          </w:tcPr>
          <w:p w14:paraId="1BE852C9" w14:textId="77777777" w:rsidR="00CE2D18" w:rsidRPr="004E0F02" w:rsidRDefault="00CE2D18" w:rsidP="009A0D0F">
            <w:pPr>
              <w:spacing w:line="240" w:lineRule="auto"/>
              <w:rPr>
                <w:sz w:val="21"/>
                <w:szCs w:val="21"/>
              </w:rPr>
            </w:pPr>
          </w:p>
        </w:tc>
        <w:tc>
          <w:tcPr>
            <w:tcW w:w="1505" w:type="pct"/>
            <w:gridSpan w:val="6"/>
            <w:shd w:val="clear" w:color="auto" w:fill="FFFFFF"/>
          </w:tcPr>
          <w:p w14:paraId="3ABCA03E" w14:textId="77777777" w:rsidR="00CE2D18" w:rsidRPr="004E0F02" w:rsidRDefault="00CE2D18" w:rsidP="009A0D0F">
            <w:pPr>
              <w:tabs>
                <w:tab w:val="right" w:pos="1936"/>
              </w:tabs>
              <w:spacing w:line="240" w:lineRule="auto"/>
              <w:rPr>
                <w:sz w:val="21"/>
                <w:szCs w:val="21"/>
              </w:rPr>
            </w:pPr>
            <w:r w:rsidRPr="004E0F02">
              <w:rPr>
                <w:sz w:val="21"/>
                <w:szCs w:val="21"/>
              </w:rPr>
              <w:t xml:space="preserve">rodzina, obywatele oraz gospodarstwa domowe </w:t>
            </w:r>
          </w:p>
        </w:tc>
        <w:tc>
          <w:tcPr>
            <w:tcW w:w="3106" w:type="pct"/>
            <w:gridSpan w:val="20"/>
            <w:shd w:val="clear" w:color="auto" w:fill="FFFFFF"/>
          </w:tcPr>
          <w:p w14:paraId="715C3F57" w14:textId="77777777" w:rsidR="00CE2D18" w:rsidRPr="004E0F02" w:rsidRDefault="00CE2D18" w:rsidP="009A0D0F">
            <w:pPr>
              <w:spacing w:line="240" w:lineRule="auto"/>
              <w:rPr>
                <w:spacing w:val="-2"/>
                <w:sz w:val="21"/>
                <w:szCs w:val="21"/>
              </w:rPr>
            </w:pPr>
            <w:r w:rsidRPr="004E0F02">
              <w:rPr>
                <w:spacing w:val="-2"/>
                <w:sz w:val="21"/>
                <w:szCs w:val="21"/>
              </w:rPr>
              <w:t>j.w.</w:t>
            </w:r>
          </w:p>
        </w:tc>
      </w:tr>
      <w:tr w:rsidR="00CE2D18" w:rsidRPr="004E0F02" w14:paraId="4E9CEE6D" w14:textId="77777777" w:rsidTr="00B131AC">
        <w:trPr>
          <w:trHeight w:val="240"/>
        </w:trPr>
        <w:tc>
          <w:tcPr>
            <w:tcW w:w="389" w:type="pct"/>
            <w:vMerge/>
            <w:shd w:val="clear" w:color="auto" w:fill="FFFFFF"/>
          </w:tcPr>
          <w:p w14:paraId="6BB42C4B" w14:textId="77777777" w:rsidR="00CE2D18" w:rsidRPr="004E0F02" w:rsidRDefault="00CE2D18" w:rsidP="009A0D0F">
            <w:pPr>
              <w:spacing w:line="240" w:lineRule="auto"/>
              <w:rPr>
                <w:sz w:val="21"/>
                <w:szCs w:val="21"/>
              </w:rPr>
            </w:pPr>
          </w:p>
        </w:tc>
        <w:tc>
          <w:tcPr>
            <w:tcW w:w="1505" w:type="pct"/>
            <w:gridSpan w:val="6"/>
            <w:shd w:val="clear" w:color="auto" w:fill="FFFFFF"/>
          </w:tcPr>
          <w:p w14:paraId="7A141BC6" w14:textId="77777777" w:rsidR="00CE2D18" w:rsidRPr="004E0F02" w:rsidRDefault="00CE2D18" w:rsidP="009A0D0F">
            <w:pPr>
              <w:tabs>
                <w:tab w:val="right" w:pos="1936"/>
              </w:tabs>
              <w:rPr>
                <w:sz w:val="21"/>
                <w:szCs w:val="21"/>
              </w:rPr>
            </w:pPr>
            <w:r w:rsidRPr="004E0F02">
              <w:rPr>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4E0F02">
              <w:rPr>
                <w:sz w:val="21"/>
                <w:szCs w:val="21"/>
              </w:rPr>
              <w:instrText xml:space="preserve"> FORMTEXT </w:instrText>
            </w:r>
            <w:r w:rsidRPr="004E0F02">
              <w:rPr>
                <w:sz w:val="21"/>
                <w:szCs w:val="21"/>
              </w:rPr>
            </w:r>
            <w:r w:rsidRPr="004E0F02">
              <w:rPr>
                <w:sz w:val="21"/>
                <w:szCs w:val="21"/>
              </w:rPr>
              <w:fldChar w:fldCharType="separate"/>
            </w:r>
            <w:r w:rsidRPr="004E0F02">
              <w:rPr>
                <w:noProof/>
                <w:sz w:val="21"/>
                <w:szCs w:val="21"/>
              </w:rPr>
              <w:t>(dodaj/usuń)</w:t>
            </w:r>
            <w:r w:rsidRPr="004E0F02">
              <w:rPr>
                <w:sz w:val="21"/>
                <w:szCs w:val="21"/>
              </w:rPr>
              <w:fldChar w:fldCharType="end"/>
            </w:r>
          </w:p>
        </w:tc>
        <w:tc>
          <w:tcPr>
            <w:tcW w:w="3106" w:type="pct"/>
            <w:gridSpan w:val="20"/>
            <w:shd w:val="clear" w:color="auto" w:fill="FFFFFF"/>
          </w:tcPr>
          <w:p w14:paraId="707A75BC" w14:textId="77777777" w:rsidR="00CE2D18" w:rsidRPr="004E0F02" w:rsidRDefault="00CE2D18" w:rsidP="009A0D0F">
            <w:pPr>
              <w:spacing w:line="240" w:lineRule="auto"/>
              <w:jc w:val="both"/>
              <w:rPr>
                <w:spacing w:val="-2"/>
                <w:sz w:val="21"/>
                <w:szCs w:val="21"/>
              </w:rPr>
            </w:pPr>
            <w:r w:rsidRPr="004E0F02">
              <w:rPr>
                <w:spacing w:val="-2"/>
                <w:sz w:val="21"/>
                <w:szCs w:val="21"/>
              </w:rPr>
              <w:t>Gospodarka jest jednym</w:t>
            </w:r>
            <w:r w:rsidR="00AF626C" w:rsidRPr="004E0F02">
              <w:rPr>
                <w:spacing w:val="-2"/>
                <w:sz w:val="21"/>
                <w:szCs w:val="21"/>
              </w:rPr>
              <w:t xml:space="preserve"> z </w:t>
            </w:r>
            <w:r w:rsidRPr="004E0F02">
              <w:rPr>
                <w:spacing w:val="-2"/>
                <w:sz w:val="21"/>
                <w:szCs w:val="21"/>
              </w:rPr>
              <w:t>głównych beneficjentów procesu otwierania danych publicznych. Dzięki otwartym danym możliwe jest zwiększenie tempa rozwoju przedsiębiorczości</w:t>
            </w:r>
            <w:r w:rsidR="00AF626C" w:rsidRPr="004E0F02">
              <w:rPr>
                <w:spacing w:val="-2"/>
                <w:sz w:val="21"/>
                <w:szCs w:val="21"/>
              </w:rPr>
              <w:t xml:space="preserve"> i </w:t>
            </w:r>
            <w:r w:rsidRPr="004E0F02">
              <w:rPr>
                <w:spacing w:val="-2"/>
                <w:sz w:val="21"/>
                <w:szCs w:val="21"/>
              </w:rPr>
              <w:t>rozwoju gospodarczego</w:t>
            </w:r>
            <w:r w:rsidR="00AF626C" w:rsidRPr="004E0F02">
              <w:rPr>
                <w:spacing w:val="-2"/>
                <w:sz w:val="21"/>
                <w:szCs w:val="21"/>
              </w:rPr>
              <w:t xml:space="preserve"> w </w:t>
            </w:r>
            <w:r w:rsidRPr="004E0F02">
              <w:rPr>
                <w:spacing w:val="-2"/>
                <w:sz w:val="21"/>
                <w:szCs w:val="21"/>
              </w:rPr>
              <w:t>sektorze prywatnym, co</w:t>
            </w:r>
            <w:r w:rsidR="00AF626C" w:rsidRPr="004E0F02">
              <w:rPr>
                <w:spacing w:val="-2"/>
                <w:sz w:val="21"/>
                <w:szCs w:val="21"/>
              </w:rPr>
              <w:t xml:space="preserve"> z </w:t>
            </w:r>
            <w:r w:rsidRPr="004E0F02">
              <w:rPr>
                <w:spacing w:val="-2"/>
                <w:sz w:val="21"/>
                <w:szCs w:val="21"/>
              </w:rPr>
              <w:t>kolei istotnie przekłada się na wzrost gospodarczy.</w:t>
            </w:r>
          </w:p>
          <w:p w14:paraId="2503A269" w14:textId="77777777" w:rsidR="00CE2D18" w:rsidRPr="004E0F02" w:rsidRDefault="00CE2D18" w:rsidP="009A0D0F">
            <w:pPr>
              <w:spacing w:line="240" w:lineRule="auto"/>
              <w:jc w:val="both"/>
              <w:rPr>
                <w:spacing w:val="-2"/>
                <w:sz w:val="21"/>
                <w:szCs w:val="21"/>
              </w:rPr>
            </w:pPr>
            <w:r w:rsidRPr="004E0F02">
              <w:rPr>
                <w:spacing w:val="-2"/>
                <w:sz w:val="21"/>
                <w:szCs w:val="21"/>
              </w:rPr>
              <w:t>Skutkiem wzrostu gospodarczego jest wzrost zamożności społeczeństwa – skorzystają więc na tym gospodarstwa domowe, zwykli obywatele. Wzrost zamożności – na poziomie jednostki</w:t>
            </w:r>
            <w:r w:rsidR="00AF626C" w:rsidRPr="004E0F02">
              <w:rPr>
                <w:spacing w:val="-2"/>
                <w:sz w:val="21"/>
                <w:szCs w:val="21"/>
              </w:rPr>
              <w:t xml:space="preserve"> i </w:t>
            </w:r>
            <w:r w:rsidRPr="004E0F02">
              <w:rPr>
                <w:spacing w:val="-2"/>
                <w:sz w:val="21"/>
                <w:szCs w:val="21"/>
              </w:rPr>
              <w:t>rodziny – to jednak nie tylko poprawa warunków materialnych ale również zwiększenie uczestnictwa</w:t>
            </w:r>
            <w:r w:rsidR="00AF626C" w:rsidRPr="004E0F02">
              <w:rPr>
                <w:spacing w:val="-2"/>
                <w:sz w:val="21"/>
                <w:szCs w:val="21"/>
              </w:rPr>
              <w:t xml:space="preserve"> w </w:t>
            </w:r>
            <w:r w:rsidRPr="004E0F02">
              <w:rPr>
                <w:spacing w:val="-2"/>
                <w:sz w:val="21"/>
                <w:szCs w:val="21"/>
              </w:rPr>
              <w:t>różnych aspektach funkcjonowania społeczeństwa; zwiększenie aktywności społecznej i obywatelskiej.</w:t>
            </w:r>
          </w:p>
          <w:p w14:paraId="177A6C64" w14:textId="77777777" w:rsidR="00CE2D18" w:rsidRPr="004E0F02" w:rsidRDefault="00CE2D18" w:rsidP="009A0D0F">
            <w:pPr>
              <w:spacing w:line="240" w:lineRule="auto"/>
              <w:jc w:val="both"/>
              <w:rPr>
                <w:spacing w:val="-2"/>
                <w:sz w:val="21"/>
                <w:szCs w:val="21"/>
              </w:rPr>
            </w:pPr>
            <w:r w:rsidRPr="004E0F02">
              <w:rPr>
                <w:spacing w:val="-2"/>
                <w:sz w:val="21"/>
                <w:szCs w:val="21"/>
              </w:rPr>
              <w:t>Dodatkowo, dzięki nowym aplikacjom</w:t>
            </w:r>
            <w:r w:rsidR="00AF626C" w:rsidRPr="004E0F02">
              <w:rPr>
                <w:spacing w:val="-2"/>
                <w:sz w:val="21"/>
                <w:szCs w:val="21"/>
              </w:rPr>
              <w:t xml:space="preserve"> i </w:t>
            </w:r>
            <w:r w:rsidRPr="004E0F02">
              <w:rPr>
                <w:spacing w:val="-2"/>
                <w:sz w:val="21"/>
                <w:szCs w:val="21"/>
              </w:rPr>
              <w:t>produktom opartym na danych, ułatwiającym codzienne czynności, poprawia się jakość życia obywateli.</w:t>
            </w:r>
          </w:p>
        </w:tc>
      </w:tr>
      <w:tr w:rsidR="00CE2D18" w:rsidRPr="004E0F02" w14:paraId="0A0E25DF" w14:textId="77777777" w:rsidTr="00B131AC">
        <w:trPr>
          <w:trHeight w:val="142"/>
        </w:trPr>
        <w:tc>
          <w:tcPr>
            <w:tcW w:w="389" w:type="pct"/>
            <w:vMerge w:val="restart"/>
            <w:shd w:val="clear" w:color="auto" w:fill="FFFFFF"/>
          </w:tcPr>
          <w:p w14:paraId="7573AAFA" w14:textId="77777777" w:rsidR="00CE2D18" w:rsidRPr="004E0F02" w:rsidRDefault="00CE2D18" w:rsidP="009A0D0F">
            <w:pPr>
              <w:spacing w:line="240" w:lineRule="auto"/>
              <w:rPr>
                <w:sz w:val="21"/>
                <w:szCs w:val="21"/>
              </w:rPr>
            </w:pPr>
            <w:r w:rsidRPr="004E0F02">
              <w:rPr>
                <w:sz w:val="21"/>
                <w:szCs w:val="21"/>
              </w:rPr>
              <w:t>Niemierzalne</w:t>
            </w:r>
          </w:p>
        </w:tc>
        <w:tc>
          <w:tcPr>
            <w:tcW w:w="1505" w:type="pct"/>
            <w:gridSpan w:val="6"/>
            <w:shd w:val="clear" w:color="auto" w:fill="FFFFFF"/>
          </w:tcPr>
          <w:p w14:paraId="717341C9" w14:textId="77777777" w:rsidR="00CE2D18" w:rsidRPr="004E0F02" w:rsidRDefault="00CE2D18" w:rsidP="009A0D0F">
            <w:pPr>
              <w:spacing w:line="240" w:lineRule="auto"/>
              <w:rPr>
                <w:sz w:val="21"/>
                <w:szCs w:val="21"/>
              </w:rPr>
            </w:pPr>
            <w:r w:rsidRPr="004E0F02">
              <w:rPr>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4E0F02">
              <w:rPr>
                <w:sz w:val="21"/>
                <w:szCs w:val="21"/>
              </w:rPr>
              <w:instrText xml:space="preserve"> FORMTEXT </w:instrText>
            </w:r>
            <w:r w:rsidRPr="004E0F02">
              <w:rPr>
                <w:sz w:val="21"/>
                <w:szCs w:val="21"/>
              </w:rPr>
            </w:r>
            <w:r w:rsidRPr="004E0F02">
              <w:rPr>
                <w:sz w:val="21"/>
                <w:szCs w:val="21"/>
              </w:rPr>
              <w:fldChar w:fldCharType="separate"/>
            </w:r>
            <w:r w:rsidRPr="004E0F02">
              <w:rPr>
                <w:noProof/>
                <w:sz w:val="21"/>
                <w:szCs w:val="21"/>
              </w:rPr>
              <w:t>(dodaj/usuń)</w:t>
            </w:r>
            <w:r w:rsidRPr="004E0F02">
              <w:rPr>
                <w:sz w:val="21"/>
                <w:szCs w:val="21"/>
              </w:rPr>
              <w:fldChar w:fldCharType="end"/>
            </w:r>
          </w:p>
        </w:tc>
        <w:tc>
          <w:tcPr>
            <w:tcW w:w="3106" w:type="pct"/>
            <w:gridSpan w:val="20"/>
            <w:shd w:val="clear" w:color="auto" w:fill="FFFFFF"/>
          </w:tcPr>
          <w:p w14:paraId="6DAFBDB8" w14:textId="77777777" w:rsidR="00CE2D18" w:rsidRPr="004E0F02" w:rsidRDefault="00CE2D18" w:rsidP="009A0D0F">
            <w:pPr>
              <w:spacing w:line="240" w:lineRule="auto"/>
              <w:rPr>
                <w:spacing w:val="-2"/>
                <w:sz w:val="21"/>
                <w:szCs w:val="21"/>
              </w:rPr>
            </w:pPr>
          </w:p>
        </w:tc>
      </w:tr>
      <w:tr w:rsidR="00CE2D18" w:rsidRPr="004E0F02" w14:paraId="10EF737A" w14:textId="77777777" w:rsidTr="00B131AC">
        <w:trPr>
          <w:trHeight w:val="142"/>
        </w:trPr>
        <w:tc>
          <w:tcPr>
            <w:tcW w:w="389" w:type="pct"/>
            <w:vMerge/>
            <w:shd w:val="clear" w:color="auto" w:fill="FFFFFF"/>
          </w:tcPr>
          <w:p w14:paraId="5BCF9063" w14:textId="77777777" w:rsidR="00CE2D18" w:rsidRPr="004E0F02" w:rsidRDefault="00CE2D18" w:rsidP="009A0D0F">
            <w:pPr>
              <w:spacing w:line="240" w:lineRule="auto"/>
              <w:rPr>
                <w:sz w:val="21"/>
                <w:szCs w:val="21"/>
              </w:rPr>
            </w:pPr>
          </w:p>
        </w:tc>
        <w:tc>
          <w:tcPr>
            <w:tcW w:w="1505" w:type="pct"/>
            <w:gridSpan w:val="6"/>
            <w:shd w:val="clear" w:color="auto" w:fill="FFFFFF"/>
          </w:tcPr>
          <w:p w14:paraId="44E2FE88" w14:textId="77777777" w:rsidR="00CE2D18" w:rsidRPr="004E0F02" w:rsidRDefault="00CE2D18" w:rsidP="009A0D0F">
            <w:pPr>
              <w:spacing w:line="240" w:lineRule="auto"/>
              <w:rPr>
                <w:sz w:val="21"/>
                <w:szCs w:val="21"/>
              </w:rPr>
            </w:pPr>
            <w:r w:rsidRPr="004E0F02">
              <w:rPr>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4E0F02">
              <w:rPr>
                <w:sz w:val="21"/>
                <w:szCs w:val="21"/>
              </w:rPr>
              <w:instrText xml:space="preserve"> FORMTEXT </w:instrText>
            </w:r>
            <w:r w:rsidRPr="004E0F02">
              <w:rPr>
                <w:sz w:val="21"/>
                <w:szCs w:val="21"/>
              </w:rPr>
            </w:r>
            <w:r w:rsidRPr="004E0F02">
              <w:rPr>
                <w:sz w:val="21"/>
                <w:szCs w:val="21"/>
              </w:rPr>
              <w:fldChar w:fldCharType="separate"/>
            </w:r>
            <w:r w:rsidRPr="004E0F02">
              <w:rPr>
                <w:noProof/>
                <w:sz w:val="21"/>
                <w:szCs w:val="21"/>
              </w:rPr>
              <w:t>(dodaj/usuń)</w:t>
            </w:r>
            <w:r w:rsidRPr="004E0F02">
              <w:rPr>
                <w:sz w:val="21"/>
                <w:szCs w:val="21"/>
              </w:rPr>
              <w:fldChar w:fldCharType="end"/>
            </w:r>
          </w:p>
        </w:tc>
        <w:tc>
          <w:tcPr>
            <w:tcW w:w="3106" w:type="pct"/>
            <w:gridSpan w:val="20"/>
            <w:shd w:val="clear" w:color="auto" w:fill="FFFFFF"/>
          </w:tcPr>
          <w:p w14:paraId="534B75B5" w14:textId="77777777" w:rsidR="00CE2D18" w:rsidRPr="004E0F02" w:rsidRDefault="00CE2D18" w:rsidP="009A0D0F">
            <w:pPr>
              <w:spacing w:line="240" w:lineRule="auto"/>
              <w:rPr>
                <w:spacing w:val="-2"/>
                <w:sz w:val="21"/>
                <w:szCs w:val="21"/>
              </w:rPr>
            </w:pPr>
          </w:p>
        </w:tc>
      </w:tr>
      <w:tr w:rsidR="00CE2D18" w:rsidRPr="004E0F02" w14:paraId="70E54874" w14:textId="77777777" w:rsidTr="00FE76F2">
        <w:trPr>
          <w:trHeight w:val="1643"/>
        </w:trPr>
        <w:tc>
          <w:tcPr>
            <w:tcW w:w="546" w:type="pct"/>
            <w:gridSpan w:val="2"/>
            <w:shd w:val="clear" w:color="auto" w:fill="FFFFFF"/>
          </w:tcPr>
          <w:p w14:paraId="4D2DD72D" w14:textId="77777777" w:rsidR="00CE2D18" w:rsidRPr="004E0F02" w:rsidRDefault="00CE2D18" w:rsidP="009A0D0F">
            <w:pPr>
              <w:spacing w:line="240" w:lineRule="auto"/>
              <w:rPr>
                <w:sz w:val="21"/>
                <w:szCs w:val="21"/>
              </w:rPr>
            </w:pPr>
            <w:r w:rsidRPr="004E0F02">
              <w:rPr>
                <w:sz w:val="21"/>
                <w:szCs w:val="21"/>
              </w:rPr>
              <w:t>Dodatkowe informacje,</w:t>
            </w:r>
            <w:r w:rsidR="00AF626C" w:rsidRPr="004E0F02">
              <w:rPr>
                <w:sz w:val="21"/>
                <w:szCs w:val="21"/>
              </w:rPr>
              <w:t xml:space="preserve"> w </w:t>
            </w:r>
            <w:r w:rsidRPr="004E0F02">
              <w:rPr>
                <w:sz w:val="21"/>
                <w:szCs w:val="21"/>
              </w:rPr>
              <w:t xml:space="preserve">tym wskazanie źródeł </w:t>
            </w:r>
            <w:r w:rsidRPr="004E0F02">
              <w:rPr>
                <w:sz w:val="21"/>
                <w:szCs w:val="21"/>
              </w:rPr>
              <w:lastRenderedPageBreak/>
              <w:t>danych</w:t>
            </w:r>
            <w:r w:rsidR="00AF626C" w:rsidRPr="004E0F02">
              <w:rPr>
                <w:sz w:val="21"/>
                <w:szCs w:val="21"/>
              </w:rPr>
              <w:t xml:space="preserve"> i </w:t>
            </w:r>
            <w:r w:rsidRPr="004E0F02">
              <w:rPr>
                <w:sz w:val="21"/>
                <w:szCs w:val="21"/>
              </w:rPr>
              <w:t xml:space="preserve">przyjętych do obliczeń założeń </w:t>
            </w:r>
          </w:p>
        </w:tc>
        <w:tc>
          <w:tcPr>
            <w:tcW w:w="4454" w:type="pct"/>
            <w:gridSpan w:val="25"/>
            <w:shd w:val="clear" w:color="auto" w:fill="FFFFFF"/>
            <w:vAlign w:val="center"/>
          </w:tcPr>
          <w:p w14:paraId="72A4BA9A" w14:textId="63392730" w:rsidR="00CE2D18" w:rsidRPr="004E0F02" w:rsidRDefault="00CE2D18" w:rsidP="009A0D0F">
            <w:pPr>
              <w:spacing w:line="240" w:lineRule="auto"/>
              <w:jc w:val="both"/>
              <w:rPr>
                <w:sz w:val="21"/>
                <w:szCs w:val="21"/>
              </w:rPr>
            </w:pPr>
            <w:r w:rsidRPr="004E0F02">
              <w:rPr>
                <w:sz w:val="21"/>
                <w:szCs w:val="21"/>
              </w:rPr>
              <w:lastRenderedPageBreak/>
              <w:t>Precyzyjnych</w:t>
            </w:r>
            <w:r w:rsidR="00AF626C" w:rsidRPr="004E0F02">
              <w:rPr>
                <w:sz w:val="21"/>
                <w:szCs w:val="21"/>
              </w:rPr>
              <w:t xml:space="preserve"> i </w:t>
            </w:r>
            <w:r w:rsidRPr="004E0F02">
              <w:rPr>
                <w:sz w:val="21"/>
                <w:szCs w:val="21"/>
              </w:rPr>
              <w:t>aktualnych danych na temat wielkości</w:t>
            </w:r>
            <w:r w:rsidR="00AF626C" w:rsidRPr="004E0F02">
              <w:rPr>
                <w:sz w:val="21"/>
                <w:szCs w:val="21"/>
              </w:rPr>
              <w:t xml:space="preserve"> i </w:t>
            </w:r>
            <w:r w:rsidRPr="004E0F02">
              <w:rPr>
                <w:sz w:val="21"/>
                <w:szCs w:val="21"/>
              </w:rPr>
              <w:t>charakterystyki rynku ponownego wykorzystywania danych publicznych w Polsce dostarczy badanie ankietowe, które na zlecenie Ministerstwa Cyfryzacji</w:t>
            </w:r>
            <w:r w:rsidR="00633AF9" w:rsidRPr="004E0F02">
              <w:rPr>
                <w:sz w:val="21"/>
                <w:szCs w:val="21"/>
              </w:rPr>
              <w:t>/Kancelarii Prezesa Rady Ministrów</w:t>
            </w:r>
            <w:r w:rsidRPr="004E0F02">
              <w:rPr>
                <w:sz w:val="21"/>
                <w:szCs w:val="21"/>
              </w:rPr>
              <w:t xml:space="preserve"> (w ramach projektu </w:t>
            </w:r>
            <w:r w:rsidR="00E45B1D" w:rsidRPr="004E0F02">
              <w:rPr>
                <w:sz w:val="21"/>
                <w:szCs w:val="21"/>
              </w:rPr>
              <w:t>„</w:t>
            </w:r>
            <w:r w:rsidRPr="004E0F02">
              <w:rPr>
                <w:sz w:val="21"/>
                <w:szCs w:val="21"/>
              </w:rPr>
              <w:t>Otwarte dane plus</w:t>
            </w:r>
            <w:r w:rsidR="00E45B1D" w:rsidRPr="004E0F02">
              <w:rPr>
                <w:sz w:val="21"/>
                <w:szCs w:val="21"/>
              </w:rPr>
              <w:t>”</w:t>
            </w:r>
            <w:r w:rsidRPr="004E0F02">
              <w:rPr>
                <w:sz w:val="21"/>
                <w:szCs w:val="21"/>
              </w:rPr>
              <w:t>) będzie realizowane wśród przedstawicieli firm</w:t>
            </w:r>
            <w:r w:rsidR="00AF626C" w:rsidRPr="004E0F02">
              <w:rPr>
                <w:sz w:val="21"/>
                <w:szCs w:val="21"/>
              </w:rPr>
              <w:t xml:space="preserve"> w </w:t>
            </w:r>
            <w:r w:rsidRPr="004E0F02">
              <w:rPr>
                <w:sz w:val="21"/>
                <w:szCs w:val="21"/>
              </w:rPr>
              <w:t>III</w:t>
            </w:r>
            <w:r w:rsidR="00AF626C" w:rsidRPr="004E0F02">
              <w:rPr>
                <w:sz w:val="21"/>
                <w:szCs w:val="21"/>
              </w:rPr>
              <w:t xml:space="preserve"> i </w:t>
            </w:r>
            <w:r w:rsidRPr="004E0F02">
              <w:rPr>
                <w:sz w:val="21"/>
                <w:szCs w:val="21"/>
              </w:rPr>
              <w:t>IV kwartale 202</w:t>
            </w:r>
            <w:r w:rsidR="00AF626C" w:rsidRPr="004E0F02">
              <w:rPr>
                <w:sz w:val="21"/>
                <w:szCs w:val="21"/>
              </w:rPr>
              <w:t>0 </w:t>
            </w:r>
            <w:r w:rsidRPr="004E0F02">
              <w:rPr>
                <w:sz w:val="21"/>
                <w:szCs w:val="21"/>
              </w:rPr>
              <w:t>r. Celem tego badania będzie:</w:t>
            </w:r>
          </w:p>
          <w:p w14:paraId="34979D4F" w14:textId="77777777" w:rsidR="00CE2D18" w:rsidRPr="004E0F02" w:rsidRDefault="00CE2D18" w:rsidP="009346F9">
            <w:pPr>
              <w:widowControl/>
              <w:numPr>
                <w:ilvl w:val="0"/>
                <w:numId w:val="5"/>
              </w:numPr>
              <w:autoSpaceDE/>
              <w:autoSpaceDN/>
              <w:adjustRightInd/>
              <w:spacing w:line="240" w:lineRule="auto"/>
              <w:ind w:left="343"/>
              <w:jc w:val="both"/>
              <w:rPr>
                <w:sz w:val="21"/>
                <w:szCs w:val="21"/>
              </w:rPr>
            </w:pPr>
            <w:r w:rsidRPr="004E0F02">
              <w:rPr>
                <w:sz w:val="21"/>
                <w:szCs w:val="21"/>
              </w:rPr>
              <w:t>oszacowanie wielkości rynku ponownego wykorzystania danych publicznych (określenie liczby firm działających na polskim rynku, zarówno krajowych, jak</w:t>
            </w:r>
            <w:r w:rsidR="00AF626C" w:rsidRPr="004E0F02">
              <w:rPr>
                <w:sz w:val="21"/>
                <w:szCs w:val="21"/>
              </w:rPr>
              <w:t xml:space="preserve"> i </w:t>
            </w:r>
            <w:r w:rsidRPr="004E0F02">
              <w:rPr>
                <w:sz w:val="21"/>
                <w:szCs w:val="21"/>
              </w:rPr>
              <w:t>zagranicznych, które</w:t>
            </w:r>
            <w:r w:rsidR="00AF626C" w:rsidRPr="004E0F02">
              <w:rPr>
                <w:sz w:val="21"/>
                <w:szCs w:val="21"/>
              </w:rPr>
              <w:t xml:space="preserve"> </w:t>
            </w:r>
            <w:r w:rsidR="00AF626C" w:rsidRPr="004E0F02">
              <w:rPr>
                <w:sz w:val="21"/>
                <w:szCs w:val="21"/>
              </w:rPr>
              <w:lastRenderedPageBreak/>
              <w:t>w </w:t>
            </w:r>
            <w:r w:rsidRPr="004E0F02">
              <w:rPr>
                <w:sz w:val="21"/>
                <w:szCs w:val="21"/>
              </w:rPr>
              <w:t>swojej działalności wykorzystują dane publiczne)</w:t>
            </w:r>
            <w:r w:rsidR="00AF626C" w:rsidRPr="004E0F02">
              <w:rPr>
                <w:sz w:val="21"/>
                <w:szCs w:val="21"/>
              </w:rPr>
              <w:t xml:space="preserve"> z </w:t>
            </w:r>
            <w:r w:rsidRPr="004E0F02">
              <w:rPr>
                <w:sz w:val="21"/>
                <w:szCs w:val="21"/>
              </w:rPr>
              <w:t>uwzględnieniem – między innymi – wielkości firmy oraz branży,</w:t>
            </w:r>
            <w:r w:rsidR="00AF626C" w:rsidRPr="004E0F02">
              <w:rPr>
                <w:sz w:val="21"/>
                <w:szCs w:val="21"/>
              </w:rPr>
              <w:t xml:space="preserve"> w </w:t>
            </w:r>
            <w:r w:rsidRPr="004E0F02">
              <w:rPr>
                <w:sz w:val="21"/>
                <w:szCs w:val="21"/>
              </w:rPr>
              <w:t>której działa;</w:t>
            </w:r>
          </w:p>
          <w:p w14:paraId="377AA0D0" w14:textId="77777777" w:rsidR="00CE2D18" w:rsidRPr="004E0F02" w:rsidRDefault="00CE2D18" w:rsidP="009346F9">
            <w:pPr>
              <w:widowControl/>
              <w:numPr>
                <w:ilvl w:val="0"/>
                <w:numId w:val="5"/>
              </w:numPr>
              <w:autoSpaceDE/>
              <w:autoSpaceDN/>
              <w:adjustRightInd/>
              <w:spacing w:line="240" w:lineRule="auto"/>
              <w:ind w:left="343"/>
              <w:jc w:val="both"/>
              <w:rPr>
                <w:sz w:val="21"/>
                <w:szCs w:val="21"/>
              </w:rPr>
            </w:pPr>
            <w:r w:rsidRPr="004E0F02">
              <w:rPr>
                <w:sz w:val="21"/>
                <w:szCs w:val="21"/>
              </w:rPr>
              <w:t>określenie poziomu zainteresowania biznesu dostępem do otwartych danych publicznych, rozpoznanie, czy –</w:t>
            </w:r>
            <w:r w:rsidR="00AF626C" w:rsidRPr="004E0F02">
              <w:rPr>
                <w:sz w:val="21"/>
                <w:szCs w:val="21"/>
              </w:rPr>
              <w:t xml:space="preserve"> i w </w:t>
            </w:r>
            <w:r w:rsidRPr="004E0F02">
              <w:rPr>
                <w:sz w:val="21"/>
                <w:szCs w:val="21"/>
              </w:rPr>
              <w:t>jakim stopniu – przedsiębiorcy dostrzegają</w:t>
            </w:r>
            <w:r w:rsidR="00AF626C" w:rsidRPr="004E0F02">
              <w:rPr>
                <w:sz w:val="21"/>
                <w:szCs w:val="21"/>
              </w:rPr>
              <w:t xml:space="preserve"> w </w:t>
            </w:r>
            <w:r w:rsidRPr="004E0F02">
              <w:rPr>
                <w:sz w:val="21"/>
                <w:szCs w:val="21"/>
              </w:rPr>
              <w:t>otwartych danych szanse rozwojowe dla swoich firm: np.</w:t>
            </w:r>
            <w:r w:rsidR="00AF626C" w:rsidRPr="004E0F02">
              <w:rPr>
                <w:sz w:val="21"/>
                <w:szCs w:val="21"/>
              </w:rPr>
              <w:t xml:space="preserve"> w </w:t>
            </w:r>
            <w:r w:rsidRPr="004E0F02">
              <w:rPr>
                <w:sz w:val="21"/>
                <w:szCs w:val="21"/>
              </w:rPr>
              <w:t>zwiększaniu efektywności wewnętrznej działalności firmy, w tworzeniu innowacyjnych usług lub produktów i/lub</w:t>
            </w:r>
            <w:r w:rsidR="00AF626C" w:rsidRPr="004E0F02">
              <w:rPr>
                <w:sz w:val="21"/>
                <w:szCs w:val="21"/>
              </w:rPr>
              <w:t xml:space="preserve"> w </w:t>
            </w:r>
            <w:r w:rsidRPr="004E0F02">
              <w:rPr>
                <w:sz w:val="21"/>
                <w:szCs w:val="21"/>
              </w:rPr>
              <w:t>budowaniu nowych modeli biznesowych;</w:t>
            </w:r>
          </w:p>
          <w:p w14:paraId="76781F7B" w14:textId="77777777" w:rsidR="00CE2D18" w:rsidRPr="004E0F02" w:rsidRDefault="00CE2D18" w:rsidP="009346F9">
            <w:pPr>
              <w:widowControl/>
              <w:numPr>
                <w:ilvl w:val="0"/>
                <w:numId w:val="5"/>
              </w:numPr>
              <w:autoSpaceDE/>
              <w:autoSpaceDN/>
              <w:adjustRightInd/>
              <w:spacing w:line="240" w:lineRule="auto"/>
              <w:ind w:left="343"/>
              <w:jc w:val="both"/>
              <w:rPr>
                <w:sz w:val="21"/>
                <w:szCs w:val="21"/>
              </w:rPr>
            </w:pPr>
            <w:r w:rsidRPr="004E0F02">
              <w:rPr>
                <w:sz w:val="21"/>
                <w:szCs w:val="21"/>
              </w:rPr>
              <w:t>zbadanie trendów rynkowych</w:t>
            </w:r>
            <w:r w:rsidR="00AF626C" w:rsidRPr="004E0F02">
              <w:rPr>
                <w:sz w:val="21"/>
                <w:szCs w:val="21"/>
              </w:rPr>
              <w:t xml:space="preserve"> w </w:t>
            </w:r>
            <w:r w:rsidRPr="004E0F02">
              <w:rPr>
                <w:sz w:val="21"/>
                <w:szCs w:val="21"/>
              </w:rPr>
              <w:t>tym zakresie (na które dane, tj.</w:t>
            </w:r>
            <w:r w:rsidR="00AF626C" w:rsidRPr="004E0F02">
              <w:rPr>
                <w:sz w:val="21"/>
                <w:szCs w:val="21"/>
              </w:rPr>
              <w:t xml:space="preserve"> z </w:t>
            </w:r>
            <w:r w:rsidRPr="004E0F02">
              <w:rPr>
                <w:sz w:val="21"/>
                <w:szCs w:val="21"/>
              </w:rPr>
              <w:t>jakich obszarów tematycznych, jest</w:t>
            </w:r>
            <w:r w:rsidR="00AF626C" w:rsidRPr="004E0F02">
              <w:rPr>
                <w:sz w:val="21"/>
                <w:szCs w:val="21"/>
              </w:rPr>
              <w:t xml:space="preserve"> i w </w:t>
            </w:r>
            <w:r w:rsidRPr="004E0F02">
              <w:rPr>
                <w:sz w:val="21"/>
                <w:szCs w:val="21"/>
              </w:rPr>
              <w:t>najbliższych latach może być największy popyt</w:t>
            </w:r>
            <w:r w:rsidR="00AF626C" w:rsidRPr="004E0F02">
              <w:rPr>
                <w:sz w:val="21"/>
                <w:szCs w:val="21"/>
              </w:rPr>
              <w:t xml:space="preserve"> i </w:t>
            </w:r>
            <w:r w:rsidRPr="004E0F02">
              <w:rPr>
                <w:sz w:val="21"/>
                <w:szCs w:val="21"/>
              </w:rPr>
              <w:t>dlaczego,</w:t>
            </w:r>
            <w:r w:rsidR="00AF626C" w:rsidRPr="004E0F02">
              <w:rPr>
                <w:sz w:val="21"/>
                <w:szCs w:val="21"/>
              </w:rPr>
              <w:t xml:space="preserve"> a </w:t>
            </w:r>
            <w:r w:rsidRPr="004E0F02">
              <w:rPr>
                <w:sz w:val="21"/>
                <w:szCs w:val="21"/>
              </w:rPr>
              <w:t>także na jakie branże oraz rozwiązania biznesowe może się to przełożyć</w:t>
            </w:r>
            <w:r w:rsidR="00AF626C" w:rsidRPr="004E0F02">
              <w:rPr>
                <w:sz w:val="21"/>
                <w:szCs w:val="21"/>
              </w:rPr>
              <w:t xml:space="preserve"> w </w:t>
            </w:r>
            <w:r w:rsidRPr="004E0F02">
              <w:rPr>
                <w:sz w:val="21"/>
                <w:szCs w:val="21"/>
              </w:rPr>
              <w:t>największym stopniu);</w:t>
            </w:r>
          </w:p>
          <w:p w14:paraId="795C9C4E" w14:textId="77777777" w:rsidR="00CE2D18" w:rsidRPr="004E0F02" w:rsidRDefault="00CE2D18" w:rsidP="009346F9">
            <w:pPr>
              <w:widowControl/>
              <w:numPr>
                <w:ilvl w:val="0"/>
                <w:numId w:val="5"/>
              </w:numPr>
              <w:autoSpaceDE/>
              <w:autoSpaceDN/>
              <w:adjustRightInd/>
              <w:spacing w:line="240" w:lineRule="auto"/>
              <w:ind w:left="343"/>
              <w:jc w:val="both"/>
              <w:rPr>
                <w:sz w:val="21"/>
                <w:szCs w:val="21"/>
              </w:rPr>
            </w:pPr>
            <w:r w:rsidRPr="004E0F02">
              <w:rPr>
                <w:sz w:val="21"/>
                <w:szCs w:val="21"/>
              </w:rPr>
              <w:t>rozpoznanie barier ograniczających ponowne wykorzystywanie danych publicznych (technicznych, prawnych, mentalnych, wynikających</w:t>
            </w:r>
            <w:r w:rsidR="00AF626C" w:rsidRPr="004E0F02">
              <w:rPr>
                <w:sz w:val="21"/>
                <w:szCs w:val="21"/>
              </w:rPr>
              <w:t xml:space="preserve"> z </w:t>
            </w:r>
            <w:r w:rsidRPr="004E0F02">
              <w:rPr>
                <w:sz w:val="21"/>
                <w:szCs w:val="21"/>
              </w:rPr>
              <w:t>braku wiedzy czy kompetencji itd.).</w:t>
            </w:r>
          </w:p>
        </w:tc>
      </w:tr>
      <w:tr w:rsidR="00CE2D18" w:rsidRPr="004E0F02" w14:paraId="1A7E1C7A" w14:textId="77777777" w:rsidTr="0001659E">
        <w:trPr>
          <w:trHeight w:val="342"/>
        </w:trPr>
        <w:tc>
          <w:tcPr>
            <w:tcW w:w="5000" w:type="pct"/>
            <w:gridSpan w:val="27"/>
            <w:shd w:val="clear" w:color="auto" w:fill="99CCFF"/>
            <w:vAlign w:val="center"/>
          </w:tcPr>
          <w:p w14:paraId="27198E8A" w14:textId="77777777" w:rsidR="00CE2D18" w:rsidRPr="004E0F02" w:rsidRDefault="00CE2D18" w:rsidP="009346F9">
            <w:pPr>
              <w:widowControl/>
              <w:numPr>
                <w:ilvl w:val="0"/>
                <w:numId w:val="1"/>
              </w:numPr>
              <w:autoSpaceDE/>
              <w:autoSpaceDN/>
              <w:adjustRightInd/>
              <w:spacing w:before="60" w:after="60" w:line="240" w:lineRule="auto"/>
              <w:ind w:left="318" w:hanging="284"/>
              <w:jc w:val="both"/>
              <w:rPr>
                <w:b/>
              </w:rPr>
            </w:pPr>
            <w:r w:rsidRPr="004E0F02">
              <w:rPr>
                <w:b/>
              </w:rPr>
              <w:lastRenderedPageBreak/>
              <w:t xml:space="preserve"> Zmiana obciążeń regulacyjnych (w tym obowiązków informacyjnych) wynikających</w:t>
            </w:r>
            <w:r w:rsidR="00AF626C" w:rsidRPr="004E0F02">
              <w:rPr>
                <w:b/>
              </w:rPr>
              <w:t xml:space="preserve"> z </w:t>
            </w:r>
            <w:r w:rsidRPr="004E0F02">
              <w:rPr>
                <w:b/>
              </w:rPr>
              <w:t>projektu</w:t>
            </w:r>
          </w:p>
        </w:tc>
      </w:tr>
      <w:tr w:rsidR="00CE2D18" w:rsidRPr="004E0F02" w14:paraId="5B41A490" w14:textId="77777777" w:rsidTr="0001659E">
        <w:trPr>
          <w:trHeight w:val="151"/>
        </w:trPr>
        <w:tc>
          <w:tcPr>
            <w:tcW w:w="5000" w:type="pct"/>
            <w:gridSpan w:val="27"/>
            <w:shd w:val="clear" w:color="auto" w:fill="FFFFFF"/>
          </w:tcPr>
          <w:p w14:paraId="73172DB6" w14:textId="796C8B13" w:rsidR="00CE2D18" w:rsidRPr="004E0F02" w:rsidRDefault="00767A3A" w:rsidP="009A0D0F">
            <w:pPr>
              <w:spacing w:line="240" w:lineRule="auto"/>
            </w:pPr>
            <w:sdt>
              <w:sdtPr>
                <w:rPr>
                  <w:spacing w:val="-2"/>
                </w:rPr>
                <w:id w:val="1930998347"/>
                <w14:checkbox>
                  <w14:checked w14:val="0"/>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nie dotyczy</w:t>
            </w:r>
          </w:p>
        </w:tc>
      </w:tr>
      <w:tr w:rsidR="00CE2D18" w:rsidRPr="004E0F02" w14:paraId="7A96FDF5" w14:textId="77777777" w:rsidTr="0001659E">
        <w:trPr>
          <w:trHeight w:val="946"/>
        </w:trPr>
        <w:tc>
          <w:tcPr>
            <w:tcW w:w="2436" w:type="pct"/>
            <w:gridSpan w:val="11"/>
            <w:shd w:val="clear" w:color="auto" w:fill="FFFFFF"/>
          </w:tcPr>
          <w:p w14:paraId="0053157D" w14:textId="77777777" w:rsidR="00CE2D18" w:rsidRPr="004E0F02" w:rsidRDefault="00CE2D18" w:rsidP="009A0D0F">
            <w:pPr>
              <w:rPr>
                <w:spacing w:val="-2"/>
              </w:rPr>
            </w:pPr>
            <w:r w:rsidRPr="004E0F02">
              <w:rPr>
                <w:spacing w:val="-2"/>
              </w:rPr>
              <w:t xml:space="preserve">Wprowadzane są obciążenia poza bezwzględnie wymaganymi przez UE </w:t>
            </w:r>
            <w:r w:rsidRPr="004E0F02">
              <w:t>(szczegóły</w:t>
            </w:r>
            <w:r w:rsidR="00AF626C" w:rsidRPr="004E0F02">
              <w:t xml:space="preserve"> w </w:t>
            </w:r>
            <w:r w:rsidRPr="004E0F02">
              <w:t>odwróconej tabeli zgodności).</w:t>
            </w:r>
          </w:p>
        </w:tc>
        <w:tc>
          <w:tcPr>
            <w:tcW w:w="2564" w:type="pct"/>
            <w:gridSpan w:val="16"/>
            <w:shd w:val="clear" w:color="auto" w:fill="FFFFFF"/>
          </w:tcPr>
          <w:p w14:paraId="0E6C027A" w14:textId="7A2AB33E" w:rsidR="00CE2D18" w:rsidRPr="004E0F02" w:rsidRDefault="00767A3A" w:rsidP="009A0D0F">
            <w:pPr>
              <w:spacing w:line="240" w:lineRule="auto"/>
            </w:pPr>
            <w:sdt>
              <w:sdtPr>
                <w:id w:val="-501432790"/>
                <w14:checkbox>
                  <w14:checked w14:val="1"/>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tak</w:t>
            </w:r>
          </w:p>
          <w:p w14:paraId="60A7C049" w14:textId="1C3FB689" w:rsidR="00CE2D18" w:rsidRPr="004E0F02" w:rsidRDefault="00767A3A" w:rsidP="009A0D0F">
            <w:pPr>
              <w:spacing w:line="240" w:lineRule="auto"/>
            </w:pPr>
            <w:sdt>
              <w:sdtPr>
                <w:id w:val="-1774005171"/>
                <w14:checkbox>
                  <w14:checked w14:val="0"/>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nie</w:t>
            </w:r>
          </w:p>
          <w:p w14:paraId="1E88A10C" w14:textId="245434D6" w:rsidR="00CE2D18" w:rsidRPr="004E0F02" w:rsidRDefault="00767A3A" w:rsidP="009A0D0F">
            <w:sdt>
              <w:sdtPr>
                <w:id w:val="351533669"/>
                <w14:checkbox>
                  <w14:checked w14:val="0"/>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nie dotyczy</w:t>
            </w:r>
          </w:p>
        </w:tc>
      </w:tr>
      <w:tr w:rsidR="00CE2D18" w:rsidRPr="004E0F02" w14:paraId="73FF3D7F" w14:textId="77777777" w:rsidTr="0001659E">
        <w:trPr>
          <w:trHeight w:val="1245"/>
        </w:trPr>
        <w:tc>
          <w:tcPr>
            <w:tcW w:w="2436" w:type="pct"/>
            <w:gridSpan w:val="11"/>
            <w:shd w:val="clear" w:color="auto" w:fill="FFFFFF"/>
          </w:tcPr>
          <w:p w14:paraId="0D998D7A" w14:textId="35019F8E" w:rsidR="00CE2D18" w:rsidRPr="004E0F02" w:rsidRDefault="00767A3A" w:rsidP="009A0D0F">
            <w:pPr>
              <w:spacing w:line="240" w:lineRule="auto"/>
              <w:rPr>
                <w:spacing w:val="-2"/>
              </w:rPr>
            </w:pPr>
            <w:sdt>
              <w:sdtPr>
                <w:rPr>
                  <w:spacing w:val="-2"/>
                </w:rPr>
                <w:id w:val="-1646118103"/>
                <w14:checkbox>
                  <w14:checked w14:val="0"/>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zmniejszenie liczby dokumentów </w:t>
            </w:r>
          </w:p>
          <w:p w14:paraId="56D54355" w14:textId="7E4AF350" w:rsidR="00CE2D18" w:rsidRPr="004E0F02" w:rsidRDefault="00767A3A" w:rsidP="009A0D0F">
            <w:pPr>
              <w:spacing w:line="240" w:lineRule="auto"/>
              <w:rPr>
                <w:spacing w:val="-2"/>
              </w:rPr>
            </w:pPr>
            <w:sdt>
              <w:sdtPr>
                <w:rPr>
                  <w:spacing w:val="-2"/>
                </w:rPr>
                <w:id w:val="1876505849"/>
                <w14:checkbox>
                  <w14:checked w14:val="1"/>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zmniejszenie liczby procedur</w:t>
            </w:r>
          </w:p>
          <w:p w14:paraId="4E84EEB1" w14:textId="0B2C608D" w:rsidR="00CE2D18" w:rsidRPr="004E0F02" w:rsidRDefault="00767A3A" w:rsidP="009A0D0F">
            <w:pPr>
              <w:spacing w:line="240" w:lineRule="auto"/>
              <w:rPr>
                <w:spacing w:val="-2"/>
              </w:rPr>
            </w:pPr>
            <w:sdt>
              <w:sdtPr>
                <w:rPr>
                  <w:spacing w:val="-2"/>
                </w:rPr>
                <w:id w:val="-2082051990"/>
                <w14:checkbox>
                  <w14:checked w14:val="1"/>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skrócenie czasu na załatwienie sprawy</w:t>
            </w:r>
          </w:p>
          <w:p w14:paraId="5CC5DBD5" w14:textId="02C351A1" w:rsidR="00CE2D18" w:rsidRPr="004E0F02" w:rsidRDefault="00767A3A" w:rsidP="009A0D0F">
            <w:pPr>
              <w:rPr>
                <w:b/>
                <w:spacing w:val="-2"/>
              </w:rPr>
            </w:pPr>
            <w:sdt>
              <w:sdtPr>
                <w:rPr>
                  <w:spacing w:val="-2"/>
                </w:rPr>
                <w:id w:val="2112540246"/>
                <w14:checkbox>
                  <w14:checked w14:val="0"/>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inne:</w:t>
            </w:r>
            <w:r w:rsidR="00CE2D18" w:rsidRPr="004E0F02">
              <w:t xml:space="preserve"> …</w:t>
            </w:r>
          </w:p>
        </w:tc>
        <w:tc>
          <w:tcPr>
            <w:tcW w:w="2564" w:type="pct"/>
            <w:gridSpan w:val="16"/>
            <w:shd w:val="clear" w:color="auto" w:fill="FFFFFF"/>
          </w:tcPr>
          <w:p w14:paraId="2D8F6AEC" w14:textId="7C680F60" w:rsidR="00CE2D18" w:rsidRPr="004E0F02" w:rsidRDefault="00767A3A" w:rsidP="009A0D0F">
            <w:pPr>
              <w:spacing w:line="240" w:lineRule="auto"/>
              <w:rPr>
                <w:spacing w:val="-2"/>
              </w:rPr>
            </w:pPr>
            <w:sdt>
              <w:sdtPr>
                <w:rPr>
                  <w:spacing w:val="-2"/>
                </w:rPr>
                <w:id w:val="2104995084"/>
                <w14:checkbox>
                  <w14:checked w14:val="0"/>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zwiększenie liczby dokumentów</w:t>
            </w:r>
          </w:p>
          <w:p w14:paraId="7205B2D4" w14:textId="2E8ED357" w:rsidR="00CE2D18" w:rsidRPr="004E0F02" w:rsidRDefault="00767A3A" w:rsidP="009A0D0F">
            <w:pPr>
              <w:spacing w:line="240" w:lineRule="auto"/>
              <w:rPr>
                <w:spacing w:val="-2"/>
              </w:rPr>
            </w:pPr>
            <w:sdt>
              <w:sdtPr>
                <w:id w:val="762415844"/>
                <w14:checkbox>
                  <w14:checked w14:val="0"/>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w:t>
            </w:r>
            <w:r w:rsidR="00CE2D18" w:rsidRPr="004E0F02">
              <w:rPr>
                <w:spacing w:val="-2"/>
              </w:rPr>
              <w:t>zwiększenie liczby procedur</w:t>
            </w:r>
          </w:p>
          <w:p w14:paraId="5FAA59B6" w14:textId="42C44D61" w:rsidR="00CE2D18" w:rsidRPr="004E0F02" w:rsidRDefault="00767A3A" w:rsidP="009A0D0F">
            <w:pPr>
              <w:spacing w:line="240" w:lineRule="auto"/>
              <w:rPr>
                <w:spacing w:val="-2"/>
              </w:rPr>
            </w:pPr>
            <w:sdt>
              <w:sdtPr>
                <w:rPr>
                  <w:spacing w:val="-2"/>
                </w:rPr>
                <w:id w:val="-357036351"/>
                <w14:checkbox>
                  <w14:checked w14:val="0"/>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wydłużenie czasu na załatwienie sprawy</w:t>
            </w:r>
          </w:p>
          <w:p w14:paraId="25408E22" w14:textId="79A9825A" w:rsidR="00CE2D18" w:rsidRPr="004E0F02" w:rsidRDefault="00767A3A" w:rsidP="009A0D0F">
            <w:pPr>
              <w:spacing w:line="240" w:lineRule="auto"/>
            </w:pPr>
            <w:sdt>
              <w:sdtPr>
                <w:rPr>
                  <w:spacing w:val="-2"/>
                </w:rPr>
                <w:id w:val="1149557140"/>
                <w14:checkbox>
                  <w14:checked w14:val="0"/>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inne:</w:t>
            </w:r>
            <w:r w:rsidR="00CE2D18" w:rsidRPr="004E0F02">
              <w:t xml:space="preserve"> …</w:t>
            </w:r>
          </w:p>
          <w:p w14:paraId="38998139" w14:textId="77777777" w:rsidR="00CE2D18" w:rsidRPr="004E0F02" w:rsidRDefault="00CE2D18" w:rsidP="009A0D0F">
            <w:pPr>
              <w:spacing w:line="240" w:lineRule="auto"/>
            </w:pPr>
          </w:p>
        </w:tc>
      </w:tr>
      <w:tr w:rsidR="00CE2D18" w:rsidRPr="004E0F02" w14:paraId="086456AC" w14:textId="77777777" w:rsidTr="0001659E">
        <w:trPr>
          <w:trHeight w:val="870"/>
        </w:trPr>
        <w:tc>
          <w:tcPr>
            <w:tcW w:w="2436" w:type="pct"/>
            <w:gridSpan w:val="11"/>
            <w:shd w:val="clear" w:color="auto" w:fill="FFFFFF"/>
          </w:tcPr>
          <w:p w14:paraId="21E73084" w14:textId="77777777" w:rsidR="00CE2D18" w:rsidRPr="004E0F02" w:rsidRDefault="00CE2D18" w:rsidP="009A0D0F">
            <w:pPr>
              <w:spacing w:line="240" w:lineRule="auto"/>
            </w:pPr>
            <w:r w:rsidRPr="004E0F02">
              <w:rPr>
                <w:spacing w:val="-2"/>
              </w:rPr>
              <w:t xml:space="preserve">Wprowadzane obciążenia są przystosowane do ich elektronizacji. </w:t>
            </w:r>
          </w:p>
        </w:tc>
        <w:tc>
          <w:tcPr>
            <w:tcW w:w="2564" w:type="pct"/>
            <w:gridSpan w:val="16"/>
            <w:shd w:val="clear" w:color="auto" w:fill="FFFFFF"/>
          </w:tcPr>
          <w:p w14:paraId="3D3D09B3" w14:textId="309EA735" w:rsidR="00CE2D18" w:rsidRPr="004E0F02" w:rsidRDefault="00767A3A" w:rsidP="009A0D0F">
            <w:pPr>
              <w:spacing w:line="240" w:lineRule="auto"/>
            </w:pPr>
            <w:sdt>
              <w:sdtPr>
                <w:id w:val="297268939"/>
                <w14:checkbox>
                  <w14:checked w14:val="1"/>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tak</w:t>
            </w:r>
          </w:p>
          <w:p w14:paraId="69A9F862" w14:textId="1583C827" w:rsidR="00CE2D18" w:rsidRPr="004E0F02" w:rsidRDefault="00767A3A" w:rsidP="009A0D0F">
            <w:pPr>
              <w:spacing w:line="240" w:lineRule="auto"/>
            </w:pPr>
            <w:sdt>
              <w:sdtPr>
                <w:id w:val="-1887021666"/>
                <w14:checkbox>
                  <w14:checked w14:val="0"/>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nie</w:t>
            </w:r>
          </w:p>
          <w:p w14:paraId="38AAB812" w14:textId="5023B738" w:rsidR="00CE2D18" w:rsidRPr="004E0F02" w:rsidRDefault="00767A3A" w:rsidP="009A0D0F">
            <w:pPr>
              <w:spacing w:line="240" w:lineRule="auto"/>
            </w:pPr>
            <w:sdt>
              <w:sdtPr>
                <w:id w:val="1904862519"/>
                <w14:checkbox>
                  <w14:checked w14:val="0"/>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nie dotyczy</w:t>
            </w:r>
          </w:p>
        </w:tc>
      </w:tr>
      <w:tr w:rsidR="00CE2D18" w:rsidRPr="004E0F02" w14:paraId="7405B357" w14:textId="77777777" w:rsidTr="0001659E">
        <w:trPr>
          <w:trHeight w:val="630"/>
        </w:trPr>
        <w:tc>
          <w:tcPr>
            <w:tcW w:w="5000" w:type="pct"/>
            <w:gridSpan w:val="27"/>
            <w:shd w:val="clear" w:color="auto" w:fill="FFFFFF"/>
          </w:tcPr>
          <w:p w14:paraId="0C5DA695" w14:textId="77777777" w:rsidR="00CE2D18" w:rsidRPr="004E0F02" w:rsidRDefault="00CE2D18" w:rsidP="009A0D0F">
            <w:pPr>
              <w:spacing w:line="240" w:lineRule="auto"/>
              <w:jc w:val="both"/>
            </w:pPr>
            <w:r w:rsidRPr="004E0F02">
              <w:t>Komentarz:</w:t>
            </w:r>
          </w:p>
          <w:p w14:paraId="7FCC480A" w14:textId="2DEFB5D0" w:rsidR="006111E5" w:rsidRPr="004E0F02" w:rsidRDefault="006111E5" w:rsidP="006111E5">
            <w:pPr>
              <w:spacing w:line="240" w:lineRule="auto"/>
              <w:jc w:val="both"/>
            </w:pPr>
            <w:r w:rsidRPr="004E0F02">
              <w:t>Zmniejszenie obciążeń regulacyjnych związane będzie ze wzrostem ilości zasobów (danych dynamicznych oraz danych</w:t>
            </w:r>
            <w:r w:rsidR="00E45B1D" w:rsidRPr="004E0F02">
              <w:t xml:space="preserve"> o </w:t>
            </w:r>
            <w:r w:rsidRPr="004E0F02">
              <w:t>wysokiej wartości) udostępnianych za pośrednictwem portalu danych oraz innych systemów teleinformatycznych. Dostępność większej ilości danych za pośrednictwem systemów teleinformatycznych przyczyni się do spadku ilość wniosków</w:t>
            </w:r>
            <w:r w:rsidR="00E45B1D" w:rsidRPr="004E0F02">
              <w:t xml:space="preserve"> o </w:t>
            </w:r>
            <w:r w:rsidRPr="004E0F02">
              <w:t>ponowne wykorzystywanie składanych p</w:t>
            </w:r>
            <w:r w:rsidR="0054701D" w:rsidRPr="004E0F02">
              <w:t>rzez użytkowników. Zmniejszy to </w:t>
            </w:r>
            <w:r w:rsidRPr="004E0F02">
              <w:t>obciążenia administracyjno</w:t>
            </w:r>
            <w:r w:rsidR="00E45B1D" w:rsidRPr="004E0F02">
              <w:softHyphen/>
            </w:r>
            <w:r w:rsidR="00E45B1D" w:rsidRPr="004E0F02">
              <w:noBreakHyphen/>
            </w:r>
            <w:r w:rsidRPr="004E0F02">
              <w:t>biurokratyczne pod</w:t>
            </w:r>
            <w:r w:rsidR="0054701D" w:rsidRPr="004E0F02">
              <w:t>miotów zobowiązanych związane z </w:t>
            </w:r>
            <w:r w:rsidRPr="004E0F02">
              <w:t xml:space="preserve">obsługą wniosków. </w:t>
            </w:r>
          </w:p>
          <w:p w14:paraId="5AF4A463" w14:textId="091325D0" w:rsidR="006111E5" w:rsidRPr="004E0F02" w:rsidRDefault="006111E5" w:rsidP="006111E5">
            <w:pPr>
              <w:spacing w:line="240" w:lineRule="auto"/>
              <w:jc w:val="both"/>
            </w:pPr>
            <w:r w:rsidRPr="004E0F02">
              <w:t>Projekt nie przewiduje istotnych obciążeń</w:t>
            </w:r>
            <w:r w:rsidR="00E45B1D" w:rsidRPr="004E0F02">
              <w:t xml:space="preserve"> w </w:t>
            </w:r>
            <w:r w:rsidRPr="004E0F02">
              <w:t>związku</w:t>
            </w:r>
            <w:r w:rsidR="00E45B1D" w:rsidRPr="004E0F02">
              <w:t xml:space="preserve"> z </w:t>
            </w:r>
            <w:r w:rsidRPr="004E0F02">
              <w:t>poszerzeniem zakresu regulacyjnego ponownego wykorzystywania. Przedsiębiorstwa publiczne nie będą zobowiązane do udostępniania lub przekazywania informacji sektora publicznego. Decyzja</w:t>
            </w:r>
            <w:r w:rsidR="00E45B1D" w:rsidRPr="004E0F02">
              <w:t xml:space="preserve"> o </w:t>
            </w:r>
            <w:r w:rsidRPr="004E0F02">
              <w:t>tym, czy zezwolić na ponowne wykorzystywanie posiadanych informacji pozostanie</w:t>
            </w:r>
            <w:r w:rsidR="00E45B1D" w:rsidRPr="004E0F02">
              <w:t xml:space="preserve"> w </w:t>
            </w:r>
            <w:r w:rsidRPr="004E0F02">
              <w:t>gestii zainteresowanego podmiotu. Dane badawcze zostały natomiast objęte regulacją ustawy jedynie</w:t>
            </w:r>
            <w:r w:rsidR="00E45B1D" w:rsidRPr="004E0F02">
              <w:t xml:space="preserve"> w </w:t>
            </w:r>
            <w:r w:rsidRPr="004E0F02">
              <w:t>zakresie</w:t>
            </w:r>
            <w:r w:rsidR="00E45B1D" w:rsidRPr="004E0F02">
              <w:t xml:space="preserve"> w </w:t>
            </w:r>
            <w:r w:rsidRPr="004E0F02">
              <w:t>jakim są finansowane ze środków publicznych</w:t>
            </w:r>
            <w:r w:rsidR="00E45B1D" w:rsidRPr="004E0F02">
              <w:t xml:space="preserve"> i </w:t>
            </w:r>
            <w:r w:rsidRPr="004E0F02">
              <w:t xml:space="preserve">zostały już </w:t>
            </w:r>
            <w:r w:rsidR="00633AF9" w:rsidRPr="004E0F02">
              <w:t xml:space="preserve">publicznie </w:t>
            </w:r>
            <w:r w:rsidRPr="004E0F02">
              <w:t>udostępnione</w:t>
            </w:r>
            <w:r w:rsidR="00E45B1D" w:rsidRPr="004E0F02">
              <w:t xml:space="preserve"> </w:t>
            </w:r>
            <w:r w:rsidRPr="004E0F02">
              <w:t>systemie teleinformatycznym podmiotu zobowiązanego,</w:t>
            </w:r>
            <w:r w:rsidR="00E45B1D" w:rsidRPr="004E0F02">
              <w:t xml:space="preserve"> w </w:t>
            </w:r>
            <w:r w:rsidRPr="004E0F02">
              <w:t>szczególności</w:t>
            </w:r>
            <w:r w:rsidR="00E45B1D" w:rsidRPr="004E0F02">
              <w:t xml:space="preserve"> w </w:t>
            </w:r>
            <w:r w:rsidRPr="004E0F02">
              <w:t>repozytorium instytucjonalnym lub tematycznym, zatem zmiana ta dotyczy danych, które co do zasady mają postać elektroniczną.</w:t>
            </w:r>
          </w:p>
          <w:p w14:paraId="7653546F" w14:textId="298F97CE" w:rsidR="00CC3329" w:rsidRPr="004E0F02" w:rsidRDefault="006111E5" w:rsidP="009A0D0F">
            <w:pPr>
              <w:spacing w:line="240" w:lineRule="auto"/>
              <w:jc w:val="both"/>
            </w:pPr>
            <w:r w:rsidRPr="004E0F02">
              <w:t>Ewentualne obciążenia dla określonych kategorii podmiotów zobowiązanych związane mogą być</w:t>
            </w:r>
            <w:r w:rsidR="00E45B1D" w:rsidRPr="004E0F02">
              <w:t xml:space="preserve"> z </w:t>
            </w:r>
            <w:r w:rsidRPr="004E0F02">
              <w:t>koniecznością udostępniania danych dynamicznych oraz danych</w:t>
            </w:r>
            <w:r w:rsidR="00E45B1D" w:rsidRPr="004E0F02">
              <w:t xml:space="preserve"> o </w:t>
            </w:r>
            <w:r w:rsidRPr="004E0F02">
              <w:t xml:space="preserve">wysokiej </w:t>
            </w:r>
            <w:r w:rsidRPr="004E0F02">
              <w:lastRenderedPageBreak/>
              <w:t>wartości za pośrednictwem API. Należy jednak podkreślić, że</w:t>
            </w:r>
            <w:r w:rsidR="00E45B1D" w:rsidRPr="004E0F02">
              <w:t xml:space="preserve"> w </w:t>
            </w:r>
            <w:r w:rsidRPr="004E0F02">
              <w:t>przypadku kiedy zapewnienie przez podmiot zobowiązany dostępności danych dynamicznych</w:t>
            </w:r>
            <w:r w:rsidR="00E45B1D" w:rsidRPr="004E0F02">
              <w:t xml:space="preserve"> w </w:t>
            </w:r>
            <w:r w:rsidRPr="004E0F02">
              <w:t>sposób przewidziany</w:t>
            </w:r>
            <w:r w:rsidR="00E45B1D" w:rsidRPr="004E0F02">
              <w:t xml:space="preserve"> w </w:t>
            </w:r>
            <w:r w:rsidRPr="004E0F02">
              <w:t>ustawie przekraczałoby możliwości finansowe lub techniczne podmiotu zobowiązanego,</w:t>
            </w:r>
            <w:r w:rsidR="00E45B1D" w:rsidRPr="004E0F02">
              <w:t xml:space="preserve"> w </w:t>
            </w:r>
            <w:r w:rsidRPr="004E0F02">
              <w:t>projekcie ustawy dopuszczono możliwość udostępnienia takich danych</w:t>
            </w:r>
            <w:r w:rsidR="00E45B1D" w:rsidRPr="004E0F02">
              <w:t xml:space="preserve"> w </w:t>
            </w:r>
            <w:r w:rsidRPr="004E0F02">
              <w:t>terminie późniejszym. Podmioty zobowiązane będą obowiązane do udostępniania określonych zbiorów danych</w:t>
            </w:r>
            <w:r w:rsidR="00E45B1D" w:rsidRPr="004E0F02">
              <w:t xml:space="preserve"> o </w:t>
            </w:r>
            <w:r w:rsidRPr="004E0F02">
              <w:t>wysokiej wartości</w:t>
            </w:r>
            <w:r w:rsidR="00E45B1D" w:rsidRPr="004E0F02">
              <w:t xml:space="preserve"> o </w:t>
            </w:r>
            <w:r w:rsidRPr="004E0F02">
              <w:t xml:space="preserve">ile dane te zostaną wskazane </w:t>
            </w:r>
            <w:r w:rsidR="00633AF9" w:rsidRPr="004E0F02">
              <w:t xml:space="preserve">w aktach wykonawczych wydanych na podstawie projektowanej ustawy </w:t>
            </w:r>
            <w:r w:rsidRPr="004E0F02">
              <w:t>(</w:t>
            </w:r>
            <w:r w:rsidR="00633AF9" w:rsidRPr="004E0F02">
              <w:t xml:space="preserve"> dane zostaną wskazane </w:t>
            </w:r>
            <w:r w:rsidR="00E45B1D" w:rsidRPr="004E0F02">
              <w:t>w </w:t>
            </w:r>
            <w:r w:rsidRPr="004E0F02">
              <w:t>oparciu</w:t>
            </w:r>
            <w:r w:rsidR="00E45B1D" w:rsidRPr="004E0F02">
              <w:t xml:space="preserve"> o </w:t>
            </w:r>
            <w:r w:rsidRPr="004E0F02">
              <w:t>wykaz ustanowi</w:t>
            </w:r>
            <w:r w:rsidR="00CC3329" w:rsidRPr="004E0F02">
              <w:t>onym przez Komisję Europejską w </w:t>
            </w:r>
            <w:r w:rsidRPr="004E0F02">
              <w:t>drodze aktu wykonawczego).</w:t>
            </w:r>
          </w:p>
          <w:p w14:paraId="75DB2ACB" w14:textId="2EDF7FB1" w:rsidR="00CE2D18" w:rsidRPr="004E0F02" w:rsidRDefault="00CE2D18" w:rsidP="00633AF9">
            <w:pPr>
              <w:spacing w:line="240" w:lineRule="auto"/>
              <w:jc w:val="both"/>
            </w:pPr>
            <w:r w:rsidRPr="004E0F02">
              <w:t>Wprowadzane obciążenia poza bezwzględnie wymaganymi przez UE, dotyczyć będą konieczności uregulowania statusu</w:t>
            </w:r>
            <w:r w:rsidR="00AF626C" w:rsidRPr="004E0F02">
              <w:t xml:space="preserve"> i </w:t>
            </w:r>
            <w:r w:rsidRPr="004E0F02">
              <w:t xml:space="preserve">zadań pełnomocników do spraw otwartości danych, przyjęcia wieloletniej strategii otwierania danych (Program </w:t>
            </w:r>
            <w:r w:rsidR="00633AF9" w:rsidRPr="004E0F02">
              <w:t>o</w:t>
            </w:r>
            <w:r w:rsidRPr="004E0F02">
              <w:t xml:space="preserve">twierania </w:t>
            </w:r>
            <w:r w:rsidR="00633AF9" w:rsidRPr="004E0F02">
              <w:t>danych</w:t>
            </w:r>
            <w:r w:rsidRPr="004E0F02">
              <w:t>) oraz określenia w akcie wykonawczym przez ministra właściwego do spraw informatyzacji m.in. zakresu informacji sektora publicznego przeznaczonych do udostępnienia na portalu danych oraz harmonogramu ich udostępniania</w:t>
            </w:r>
            <w:r w:rsidR="00633AF9" w:rsidRPr="004E0F02">
              <w:t xml:space="preserve"> (rozporządzenie fakultatywne)</w:t>
            </w:r>
            <w:r w:rsidRPr="004E0F02">
              <w:t>. Rozwiązania te mają na celu zoptymalizowanie dystrybucji danych do dalszej eksploatacji.</w:t>
            </w:r>
          </w:p>
        </w:tc>
      </w:tr>
      <w:tr w:rsidR="00CE2D18" w:rsidRPr="004E0F02" w14:paraId="2AD42FBE" w14:textId="77777777" w:rsidTr="0001659E">
        <w:trPr>
          <w:trHeight w:val="142"/>
        </w:trPr>
        <w:tc>
          <w:tcPr>
            <w:tcW w:w="5000" w:type="pct"/>
            <w:gridSpan w:val="27"/>
            <w:shd w:val="clear" w:color="auto" w:fill="99CCFF"/>
          </w:tcPr>
          <w:p w14:paraId="19BE0BB7" w14:textId="77777777" w:rsidR="00CE2D18" w:rsidRPr="004E0F02" w:rsidRDefault="00CE2D18" w:rsidP="009346F9">
            <w:pPr>
              <w:widowControl/>
              <w:numPr>
                <w:ilvl w:val="0"/>
                <w:numId w:val="1"/>
              </w:numPr>
              <w:autoSpaceDE/>
              <w:autoSpaceDN/>
              <w:adjustRightInd/>
              <w:spacing w:before="60" w:after="60" w:line="240" w:lineRule="auto"/>
              <w:jc w:val="both"/>
              <w:rPr>
                <w:b/>
              </w:rPr>
            </w:pPr>
            <w:r w:rsidRPr="004E0F02">
              <w:rPr>
                <w:b/>
              </w:rPr>
              <w:lastRenderedPageBreak/>
              <w:t xml:space="preserve">Wpływ na rynek pracy </w:t>
            </w:r>
          </w:p>
        </w:tc>
      </w:tr>
      <w:tr w:rsidR="00CE2D18" w:rsidRPr="004E0F02" w14:paraId="47366BCE" w14:textId="77777777" w:rsidTr="0001659E">
        <w:trPr>
          <w:trHeight w:val="142"/>
        </w:trPr>
        <w:tc>
          <w:tcPr>
            <w:tcW w:w="5000" w:type="pct"/>
            <w:gridSpan w:val="27"/>
            <w:shd w:val="clear" w:color="auto" w:fill="auto"/>
          </w:tcPr>
          <w:p w14:paraId="293851B5" w14:textId="77777777" w:rsidR="00CE2D18" w:rsidRPr="004E0F02" w:rsidRDefault="00CE2D18" w:rsidP="009A0D0F">
            <w:pPr>
              <w:spacing w:line="240" w:lineRule="auto"/>
              <w:jc w:val="both"/>
            </w:pPr>
            <w:r w:rsidRPr="004E0F02">
              <w:t>Regulacja może potencjalnie pozytywnie oddziaływać na podmioty, chcące tworzyć nowe produkty</w:t>
            </w:r>
            <w:r w:rsidR="00AF626C" w:rsidRPr="004E0F02">
              <w:t xml:space="preserve"> i </w:t>
            </w:r>
            <w:r w:rsidRPr="004E0F02">
              <w:t>usługi na podstawie informacji sektora publicznego. Możliwość wykorzystania informacji sektora publicznego to szansa dla przedsiębiorców, którzy chcą na ich podstawie stworzyć nowe produkty</w:t>
            </w:r>
            <w:r w:rsidR="00AF626C" w:rsidRPr="004E0F02">
              <w:t xml:space="preserve"> i </w:t>
            </w:r>
            <w:r w:rsidRPr="004E0F02">
              <w:t>usługi. Rozwój przedsiębiorstw przekłada się</w:t>
            </w:r>
            <w:r w:rsidR="00AF626C" w:rsidRPr="004E0F02">
              <w:t xml:space="preserve"> z </w:t>
            </w:r>
            <w:r w:rsidRPr="004E0F02">
              <w:t>kolei na nowe miejsca pracy.</w:t>
            </w:r>
          </w:p>
          <w:p w14:paraId="70A363BE" w14:textId="77777777" w:rsidR="00CE2D18" w:rsidRPr="004E0F02" w:rsidRDefault="00CE2D18" w:rsidP="009A0D0F">
            <w:pPr>
              <w:spacing w:line="240" w:lineRule="auto"/>
              <w:jc w:val="both"/>
            </w:pPr>
            <w:r w:rsidRPr="004E0F02">
              <w:t>Według szacunków</w:t>
            </w:r>
            <w:r w:rsidR="00AF626C" w:rsidRPr="004E0F02">
              <w:t xml:space="preserve"> w </w:t>
            </w:r>
            <w:r w:rsidRPr="004E0F02">
              <w:t>roku 202</w:t>
            </w:r>
            <w:r w:rsidR="00AF626C" w:rsidRPr="004E0F02">
              <w:t>0 </w:t>
            </w:r>
            <w:r w:rsidRPr="004E0F02">
              <w:t>wartość rynku otwartych danych</w:t>
            </w:r>
            <w:r w:rsidR="00AF626C" w:rsidRPr="004E0F02">
              <w:t xml:space="preserve"> w </w:t>
            </w:r>
            <w:r w:rsidRPr="004E0F02">
              <w:t>UE wyniesie 75,</w:t>
            </w:r>
            <w:r w:rsidR="00AF626C" w:rsidRPr="004E0F02">
              <w:t>7 </w:t>
            </w:r>
            <w:r w:rsidRPr="004E0F02">
              <w:t>mld EUR, zaś liczba miejsc pracy związanych</w:t>
            </w:r>
            <w:r w:rsidR="00AF626C" w:rsidRPr="004E0F02">
              <w:t xml:space="preserve"> z </w:t>
            </w:r>
            <w:r w:rsidRPr="004E0F02">
              <w:t>otwartymi danymi</w:t>
            </w:r>
            <w:r w:rsidR="00AF626C" w:rsidRPr="004E0F02">
              <w:t xml:space="preserve"> w </w:t>
            </w:r>
            <w:r w:rsidRPr="004E0F02">
              <w:t>sektorze prywatnym osiągnie poziom blisko 10</w:t>
            </w:r>
            <w:r w:rsidR="00AF626C" w:rsidRPr="004E0F02">
              <w:t>0 </w:t>
            </w:r>
            <w:r w:rsidRPr="004E0F02">
              <w:t>tysięcy</w:t>
            </w:r>
            <w:r w:rsidRPr="004E0F02">
              <w:rPr>
                <w:rStyle w:val="Odwoanieprzypisudolnego"/>
              </w:rPr>
              <w:footnoteReference w:customMarkFollows="1" w:id="58"/>
              <w:t>21)</w:t>
            </w:r>
            <w:r w:rsidRPr="004E0F02">
              <w:t>.</w:t>
            </w:r>
          </w:p>
        </w:tc>
      </w:tr>
      <w:tr w:rsidR="00CE2D18" w:rsidRPr="004E0F02" w14:paraId="637914DD" w14:textId="77777777" w:rsidTr="0001659E">
        <w:trPr>
          <w:trHeight w:val="142"/>
        </w:trPr>
        <w:tc>
          <w:tcPr>
            <w:tcW w:w="5000" w:type="pct"/>
            <w:gridSpan w:val="27"/>
            <w:shd w:val="clear" w:color="auto" w:fill="99CCFF"/>
          </w:tcPr>
          <w:p w14:paraId="0DD29A60" w14:textId="77777777" w:rsidR="00CE2D18" w:rsidRPr="004E0F02" w:rsidRDefault="00CE2D18" w:rsidP="009346F9">
            <w:pPr>
              <w:widowControl/>
              <w:numPr>
                <w:ilvl w:val="0"/>
                <w:numId w:val="1"/>
              </w:numPr>
              <w:autoSpaceDE/>
              <w:autoSpaceDN/>
              <w:adjustRightInd/>
              <w:spacing w:before="60" w:after="60" w:line="240" w:lineRule="auto"/>
              <w:jc w:val="both"/>
              <w:rPr>
                <w:b/>
              </w:rPr>
            </w:pPr>
            <w:r w:rsidRPr="004E0F02">
              <w:rPr>
                <w:b/>
              </w:rPr>
              <w:t>Wpływ na pozostałe obszary</w:t>
            </w:r>
          </w:p>
        </w:tc>
      </w:tr>
      <w:tr w:rsidR="00CE2D18" w:rsidRPr="004E0F02" w14:paraId="0A2FE259" w14:textId="77777777" w:rsidTr="0001659E">
        <w:trPr>
          <w:trHeight w:val="1031"/>
        </w:trPr>
        <w:tc>
          <w:tcPr>
            <w:tcW w:w="1624" w:type="pct"/>
            <w:gridSpan w:val="5"/>
            <w:shd w:val="clear" w:color="auto" w:fill="FFFFFF"/>
          </w:tcPr>
          <w:p w14:paraId="372240C5" w14:textId="77777777" w:rsidR="00CE2D18" w:rsidRPr="004E0F02" w:rsidRDefault="00CE2D18" w:rsidP="009A0D0F">
            <w:pPr>
              <w:spacing w:line="240" w:lineRule="auto"/>
            </w:pPr>
          </w:p>
          <w:p w14:paraId="381BA148" w14:textId="0E1988CA" w:rsidR="00CE2D18" w:rsidRPr="004E0F02" w:rsidRDefault="00767A3A" w:rsidP="009A0D0F">
            <w:pPr>
              <w:spacing w:line="240" w:lineRule="auto"/>
              <w:rPr>
                <w:spacing w:val="-2"/>
              </w:rPr>
            </w:pPr>
            <w:sdt>
              <w:sdtPr>
                <w:id w:val="365952688"/>
                <w14:checkbox>
                  <w14:checked w14:val="0"/>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w:t>
            </w:r>
            <w:r w:rsidR="00CE2D18" w:rsidRPr="004E0F02">
              <w:rPr>
                <w:spacing w:val="-2"/>
              </w:rPr>
              <w:t>środowisko naturalne</w:t>
            </w:r>
          </w:p>
          <w:p w14:paraId="17070739" w14:textId="76845748" w:rsidR="00CE2D18" w:rsidRPr="004E0F02" w:rsidRDefault="00767A3A" w:rsidP="009A0D0F">
            <w:pPr>
              <w:spacing w:line="240" w:lineRule="auto"/>
            </w:pPr>
            <w:sdt>
              <w:sdtPr>
                <w:id w:val="-1888785328"/>
                <w14:checkbox>
                  <w14:checked w14:val="0"/>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sytuacja</w:t>
            </w:r>
            <w:r w:rsidR="00AF626C" w:rsidRPr="004E0F02">
              <w:t xml:space="preserve"> i </w:t>
            </w:r>
            <w:r w:rsidR="00CE2D18" w:rsidRPr="004E0F02">
              <w:t>rozwój regionalny</w:t>
            </w:r>
          </w:p>
          <w:p w14:paraId="03ACD4CD" w14:textId="15496E53" w:rsidR="00CE2D18" w:rsidRPr="004E0F02" w:rsidRDefault="00767A3A" w:rsidP="009A0D0F">
            <w:pPr>
              <w:spacing w:line="240" w:lineRule="auto"/>
              <w:rPr>
                <w:spacing w:val="-2"/>
              </w:rPr>
            </w:pPr>
            <w:sdt>
              <w:sdtPr>
                <w:rPr>
                  <w:spacing w:val="-2"/>
                </w:rPr>
                <w:id w:val="366884454"/>
                <w14:checkbox>
                  <w14:checked w14:val="0"/>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inne: </w:t>
            </w:r>
            <w:r w:rsidR="00CE2D18" w:rsidRPr="004E0F02">
              <w:t>…</w:t>
            </w:r>
          </w:p>
        </w:tc>
        <w:tc>
          <w:tcPr>
            <w:tcW w:w="2043" w:type="pct"/>
            <w:gridSpan w:val="15"/>
            <w:shd w:val="clear" w:color="auto" w:fill="FFFFFF"/>
          </w:tcPr>
          <w:p w14:paraId="186C6DB4" w14:textId="77777777" w:rsidR="00CE2D18" w:rsidRPr="004E0F02" w:rsidRDefault="00CE2D18" w:rsidP="009A0D0F">
            <w:pPr>
              <w:spacing w:line="240" w:lineRule="auto"/>
            </w:pPr>
          </w:p>
          <w:p w14:paraId="12B952D5" w14:textId="46F1AF4D" w:rsidR="00CE2D18" w:rsidRPr="004E0F02" w:rsidRDefault="00767A3A" w:rsidP="009A0D0F">
            <w:pPr>
              <w:spacing w:line="240" w:lineRule="auto"/>
              <w:rPr>
                <w:spacing w:val="-2"/>
              </w:rPr>
            </w:pPr>
            <w:sdt>
              <w:sdtPr>
                <w:rPr>
                  <w:spacing w:val="-2"/>
                </w:rPr>
                <w:id w:val="-1170861332"/>
                <w14:checkbox>
                  <w14:checked w14:val="0"/>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demografia</w:t>
            </w:r>
          </w:p>
          <w:p w14:paraId="6AAB70F2" w14:textId="7083BD53" w:rsidR="00CE2D18" w:rsidRPr="004E0F02" w:rsidRDefault="00767A3A" w:rsidP="009A0D0F">
            <w:pPr>
              <w:spacing w:line="240" w:lineRule="auto"/>
            </w:pPr>
            <w:sdt>
              <w:sdtPr>
                <w:id w:val="1090503991"/>
                <w14:checkbox>
                  <w14:checked w14:val="0"/>
                  <w14:checkedState w14:val="2612" w14:font="MS Gothic"/>
                  <w14:uncheckedState w14:val="2610" w14:font="MS Gothic"/>
                </w14:checkbox>
              </w:sdtPr>
              <w:sdtEndPr/>
              <w:sdtContent>
                <w:r w:rsidR="00CE2D18" w:rsidRPr="004E0F02">
                  <w:rPr>
                    <w:rFonts w:ascii="MS Gothic" w:eastAsia="MS Gothic" w:hAnsi="MS Gothic" w:hint="eastAsia"/>
                  </w:rPr>
                  <w:t>☐</w:t>
                </w:r>
              </w:sdtContent>
            </w:sdt>
            <w:r w:rsidR="00CE2D18" w:rsidRPr="004E0F02">
              <w:t xml:space="preserve"> mienie państwowe</w:t>
            </w:r>
          </w:p>
        </w:tc>
        <w:tc>
          <w:tcPr>
            <w:tcW w:w="1333" w:type="pct"/>
            <w:gridSpan w:val="7"/>
            <w:shd w:val="clear" w:color="auto" w:fill="FFFFFF"/>
          </w:tcPr>
          <w:p w14:paraId="4E18DD43" w14:textId="77777777" w:rsidR="00CE2D18" w:rsidRPr="004E0F02" w:rsidRDefault="00CE2D18" w:rsidP="009A0D0F">
            <w:pPr>
              <w:spacing w:line="240" w:lineRule="auto"/>
            </w:pPr>
          </w:p>
          <w:p w14:paraId="2AED3C04" w14:textId="59996778" w:rsidR="00CE2D18" w:rsidRPr="004E0F02" w:rsidRDefault="00767A3A" w:rsidP="009A0D0F">
            <w:pPr>
              <w:spacing w:line="240" w:lineRule="auto"/>
              <w:rPr>
                <w:spacing w:val="-2"/>
              </w:rPr>
            </w:pPr>
            <w:sdt>
              <w:sdtPr>
                <w:rPr>
                  <w:spacing w:val="-2"/>
                </w:rPr>
                <w:id w:val="1485042436"/>
                <w14:checkbox>
                  <w14:checked w14:val="1"/>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informatyzacja</w:t>
            </w:r>
          </w:p>
          <w:p w14:paraId="6A2435C6" w14:textId="681B43B4" w:rsidR="00CE2D18" w:rsidRPr="004E0F02" w:rsidRDefault="00767A3A" w:rsidP="009A0D0F">
            <w:pPr>
              <w:spacing w:line="240" w:lineRule="auto"/>
            </w:pPr>
            <w:sdt>
              <w:sdtPr>
                <w:rPr>
                  <w:spacing w:val="-2"/>
                </w:rPr>
                <w:id w:val="-170105530"/>
                <w14:checkbox>
                  <w14:checked w14:val="0"/>
                  <w14:checkedState w14:val="2612" w14:font="MS Gothic"/>
                  <w14:uncheckedState w14:val="2610" w14:font="MS Gothic"/>
                </w14:checkbox>
              </w:sdtPr>
              <w:sdtEndPr/>
              <w:sdtContent>
                <w:r w:rsidR="00CE2D18" w:rsidRPr="004E0F02">
                  <w:rPr>
                    <w:rFonts w:ascii="MS Gothic" w:eastAsia="MS Gothic" w:hAnsi="MS Gothic" w:hint="eastAsia"/>
                    <w:spacing w:val="-2"/>
                  </w:rPr>
                  <w:t>☐</w:t>
                </w:r>
              </w:sdtContent>
            </w:sdt>
            <w:r w:rsidR="00CE2D18" w:rsidRPr="004E0F02">
              <w:rPr>
                <w:spacing w:val="-2"/>
              </w:rPr>
              <w:t xml:space="preserve"> zdrowie</w:t>
            </w:r>
          </w:p>
        </w:tc>
      </w:tr>
      <w:tr w:rsidR="00CE2D18" w:rsidRPr="004E0F02" w14:paraId="2A785011" w14:textId="77777777" w:rsidTr="00FE76F2">
        <w:trPr>
          <w:trHeight w:val="712"/>
        </w:trPr>
        <w:tc>
          <w:tcPr>
            <w:tcW w:w="546" w:type="pct"/>
            <w:gridSpan w:val="2"/>
            <w:shd w:val="clear" w:color="auto" w:fill="FFFFFF"/>
            <w:vAlign w:val="center"/>
          </w:tcPr>
          <w:p w14:paraId="6A0B15A5" w14:textId="77777777" w:rsidR="00CE2D18" w:rsidRPr="004E0F02" w:rsidRDefault="00CE2D18" w:rsidP="009A0D0F">
            <w:pPr>
              <w:spacing w:line="240" w:lineRule="auto"/>
            </w:pPr>
            <w:r w:rsidRPr="004E0F02">
              <w:t>Omówienie wpływu</w:t>
            </w:r>
          </w:p>
        </w:tc>
        <w:tc>
          <w:tcPr>
            <w:tcW w:w="4454" w:type="pct"/>
            <w:gridSpan w:val="25"/>
            <w:shd w:val="clear" w:color="auto" w:fill="FFFFFF"/>
            <w:vAlign w:val="center"/>
          </w:tcPr>
          <w:p w14:paraId="464A4650" w14:textId="77777777" w:rsidR="00CE2D18" w:rsidRPr="004E0F02" w:rsidRDefault="00CE2D18" w:rsidP="009A0D0F">
            <w:pPr>
              <w:spacing w:line="240" w:lineRule="auto"/>
              <w:jc w:val="both"/>
              <w:rPr>
                <w:spacing w:val="-2"/>
              </w:rPr>
            </w:pPr>
            <w:r w:rsidRPr="004E0F02">
              <w:rPr>
                <w:spacing w:val="-2"/>
              </w:rPr>
              <w:t>Regulacja będzie pozytywnie oddziaływać na zwiększenie ilości danych dostępnych dla użytkowników za pośrednictwem interfejsu programistycznego aplikacji (API). Będzie to miało szczególne znaczenie dla użytkowników profesjonalnych (np. programistów, firmy</w:t>
            </w:r>
            <w:r w:rsidR="00AF626C" w:rsidRPr="004E0F02">
              <w:rPr>
                <w:spacing w:val="-2"/>
              </w:rPr>
              <w:t xml:space="preserve"> z </w:t>
            </w:r>
            <w:r w:rsidRPr="004E0F02">
              <w:rPr>
                <w:spacing w:val="-2"/>
              </w:rPr>
              <w:t>branży IT).</w:t>
            </w:r>
            <w:r w:rsidR="00AF626C" w:rsidRPr="004E0F02">
              <w:rPr>
                <w:spacing w:val="-2"/>
              </w:rPr>
              <w:t xml:space="preserve"> W </w:t>
            </w:r>
            <w:r w:rsidRPr="004E0F02">
              <w:rPr>
                <w:spacing w:val="-2"/>
              </w:rPr>
              <w:t>projekcie ustawy wprowadzone zostały szczególne wymogi dotyczące publikacji</w:t>
            </w:r>
            <w:r w:rsidR="00AF626C" w:rsidRPr="004E0F02">
              <w:rPr>
                <w:spacing w:val="-2"/>
              </w:rPr>
              <w:t xml:space="preserve"> w </w:t>
            </w:r>
            <w:r w:rsidRPr="004E0F02">
              <w:rPr>
                <w:spacing w:val="-2"/>
              </w:rPr>
              <w:t>celu ponownego wykorzystywania danych</w:t>
            </w:r>
            <w:r w:rsidR="00AF626C" w:rsidRPr="004E0F02">
              <w:rPr>
                <w:spacing w:val="-2"/>
              </w:rPr>
              <w:t xml:space="preserve"> o </w:t>
            </w:r>
            <w:r w:rsidRPr="004E0F02">
              <w:rPr>
                <w:spacing w:val="-2"/>
              </w:rPr>
              <w:t>wysokiej wartości oraz danych dynamicznych. Dotyczą one m.in. udostępniania wskazanych kategorii danych za pośrednictwem interfejsów API. Dzięki zastosowaniu tego rodzaju rozwiązań, zapewniających połączenie</w:t>
            </w:r>
            <w:r w:rsidR="00AF626C" w:rsidRPr="004E0F02">
              <w:rPr>
                <w:spacing w:val="-2"/>
              </w:rPr>
              <w:t xml:space="preserve"> i </w:t>
            </w:r>
            <w:r w:rsidRPr="004E0F02">
              <w:rPr>
                <w:spacing w:val="-2"/>
              </w:rPr>
              <w:t>wzajemną wymianę danych pomiędzy programami komputerowymi</w:t>
            </w:r>
            <w:r w:rsidR="00AF626C" w:rsidRPr="004E0F02">
              <w:rPr>
                <w:spacing w:val="-2"/>
              </w:rPr>
              <w:t xml:space="preserve"> i </w:t>
            </w:r>
            <w:r w:rsidRPr="004E0F02">
              <w:rPr>
                <w:spacing w:val="-2"/>
              </w:rPr>
              <w:t>systemami teleinformatycznymi, wskazane zbiory danych będą cały czas na bieżąco aktualizowane, przez co możliwe będzie pełne wykorzystanie ich potencjału</w:t>
            </w:r>
            <w:r w:rsidR="00AF626C" w:rsidRPr="004E0F02">
              <w:rPr>
                <w:spacing w:val="-2"/>
              </w:rPr>
              <w:t xml:space="preserve"> w </w:t>
            </w:r>
            <w:r w:rsidRPr="004E0F02">
              <w:rPr>
                <w:spacing w:val="-2"/>
              </w:rPr>
              <w:t>budowie aplikacji</w:t>
            </w:r>
            <w:r w:rsidR="00AF626C" w:rsidRPr="004E0F02">
              <w:rPr>
                <w:spacing w:val="-2"/>
              </w:rPr>
              <w:t xml:space="preserve"> i </w:t>
            </w:r>
            <w:r w:rsidRPr="004E0F02">
              <w:rPr>
                <w:spacing w:val="-2"/>
              </w:rPr>
              <w:t>programów komputerowych.</w:t>
            </w:r>
          </w:p>
        </w:tc>
      </w:tr>
      <w:tr w:rsidR="00CE2D18" w:rsidRPr="004E0F02" w14:paraId="1375D2F5" w14:textId="77777777" w:rsidTr="0001659E">
        <w:trPr>
          <w:trHeight w:val="142"/>
        </w:trPr>
        <w:tc>
          <w:tcPr>
            <w:tcW w:w="5000" w:type="pct"/>
            <w:gridSpan w:val="27"/>
            <w:shd w:val="clear" w:color="auto" w:fill="99CCFF"/>
          </w:tcPr>
          <w:p w14:paraId="64A47051" w14:textId="77777777" w:rsidR="00CE2D18" w:rsidRPr="004E0F02" w:rsidRDefault="00CE2D18" w:rsidP="009346F9">
            <w:pPr>
              <w:widowControl/>
              <w:numPr>
                <w:ilvl w:val="0"/>
                <w:numId w:val="1"/>
              </w:numPr>
              <w:autoSpaceDE/>
              <w:autoSpaceDN/>
              <w:adjustRightInd/>
              <w:spacing w:before="60" w:after="60" w:line="240" w:lineRule="auto"/>
              <w:ind w:left="318" w:hanging="284"/>
              <w:jc w:val="both"/>
              <w:rPr>
                <w:b/>
              </w:rPr>
            </w:pPr>
            <w:r w:rsidRPr="004E0F02">
              <w:rPr>
                <w:b/>
                <w:spacing w:val="-2"/>
                <w:sz w:val="21"/>
                <w:szCs w:val="21"/>
              </w:rPr>
              <w:t>Planowane wykonanie przepisów aktu prawnego</w:t>
            </w:r>
          </w:p>
        </w:tc>
      </w:tr>
      <w:tr w:rsidR="00CE2D18" w:rsidRPr="004E0F02" w14:paraId="3931C194" w14:textId="77777777" w:rsidTr="0001659E">
        <w:trPr>
          <w:trHeight w:val="142"/>
        </w:trPr>
        <w:tc>
          <w:tcPr>
            <w:tcW w:w="5000" w:type="pct"/>
            <w:gridSpan w:val="27"/>
            <w:shd w:val="clear" w:color="auto" w:fill="FFFFFF"/>
          </w:tcPr>
          <w:p w14:paraId="2A2ABA53" w14:textId="5CFBEBA0" w:rsidR="00CE2D18" w:rsidRPr="004E0F02" w:rsidRDefault="00CE2D18" w:rsidP="009346F9">
            <w:pPr>
              <w:pStyle w:val="Akapitzlist"/>
              <w:numPr>
                <w:ilvl w:val="0"/>
                <w:numId w:val="9"/>
              </w:numPr>
              <w:spacing w:line="240" w:lineRule="auto"/>
              <w:jc w:val="both"/>
              <w:rPr>
                <w:rFonts w:ascii="Times New Roman" w:hAnsi="Times New Roman"/>
                <w:spacing w:val="-2"/>
              </w:rPr>
            </w:pPr>
            <w:r w:rsidRPr="004E0F02">
              <w:rPr>
                <w:rFonts w:ascii="Times New Roman" w:hAnsi="Times New Roman"/>
                <w:spacing w:val="-2"/>
              </w:rPr>
              <w:lastRenderedPageBreak/>
              <w:t>Określenie</w:t>
            </w:r>
            <w:r w:rsidR="00AF626C" w:rsidRPr="004E0F02">
              <w:rPr>
                <w:rFonts w:ascii="Times New Roman" w:hAnsi="Times New Roman"/>
                <w:spacing w:val="-2"/>
              </w:rPr>
              <w:t xml:space="preserve"> w </w:t>
            </w:r>
            <w:r w:rsidRPr="004E0F02">
              <w:rPr>
                <w:rFonts w:ascii="Times New Roman" w:hAnsi="Times New Roman"/>
                <w:spacing w:val="-2"/>
              </w:rPr>
              <w:t>akcie wykonawczym przez ministra właściwego do spraw kultury</w:t>
            </w:r>
            <w:r w:rsidR="00AF626C" w:rsidRPr="004E0F02">
              <w:rPr>
                <w:rFonts w:ascii="Times New Roman" w:hAnsi="Times New Roman"/>
                <w:spacing w:val="-2"/>
              </w:rPr>
              <w:t xml:space="preserve"> i </w:t>
            </w:r>
            <w:r w:rsidRPr="004E0F02">
              <w:rPr>
                <w:rFonts w:ascii="Times New Roman" w:hAnsi="Times New Roman"/>
                <w:spacing w:val="-2"/>
              </w:rPr>
              <w:t>ochrony dziedzictwa narodowego</w:t>
            </w:r>
            <w:r w:rsidR="00AF626C" w:rsidRPr="004E0F02">
              <w:rPr>
                <w:rFonts w:ascii="Times New Roman" w:hAnsi="Times New Roman"/>
                <w:spacing w:val="-2"/>
              </w:rPr>
              <w:t xml:space="preserve"> w </w:t>
            </w:r>
            <w:r w:rsidRPr="004E0F02">
              <w:rPr>
                <w:rFonts w:ascii="Times New Roman" w:hAnsi="Times New Roman"/>
                <w:spacing w:val="-2"/>
              </w:rPr>
              <w:t>porozumieniu</w:t>
            </w:r>
            <w:r w:rsidR="00AF626C" w:rsidRPr="004E0F02">
              <w:rPr>
                <w:rFonts w:ascii="Times New Roman" w:hAnsi="Times New Roman"/>
                <w:spacing w:val="-2"/>
              </w:rPr>
              <w:t xml:space="preserve"> z </w:t>
            </w:r>
            <w:r w:rsidRPr="004E0F02">
              <w:rPr>
                <w:rFonts w:ascii="Times New Roman" w:hAnsi="Times New Roman"/>
                <w:spacing w:val="-2"/>
              </w:rPr>
              <w:t>ministrem właściwym do spraw informatyzacji maksymalnych stawek opłat za ponowne wykorzystywanie nakładanych przez muzea państwowe</w:t>
            </w:r>
            <w:r w:rsidR="00AF626C" w:rsidRPr="004E0F02">
              <w:rPr>
                <w:rFonts w:ascii="Times New Roman" w:hAnsi="Times New Roman"/>
                <w:spacing w:val="-2"/>
              </w:rPr>
              <w:t xml:space="preserve"> i </w:t>
            </w:r>
            <w:r w:rsidRPr="004E0F02">
              <w:rPr>
                <w:rFonts w:ascii="Times New Roman" w:hAnsi="Times New Roman"/>
                <w:spacing w:val="-2"/>
              </w:rPr>
              <w:t>muzea samorządowe</w:t>
            </w:r>
            <w:r w:rsidR="006B59DF" w:rsidRPr="004E0F02">
              <w:rPr>
                <w:rFonts w:ascii="Times New Roman" w:hAnsi="Times New Roman"/>
                <w:spacing w:val="-2"/>
              </w:rPr>
              <w:t>.</w:t>
            </w:r>
          </w:p>
          <w:p w14:paraId="443ADA45" w14:textId="0713AEA9" w:rsidR="00CE2D18" w:rsidRPr="004E0F02" w:rsidRDefault="00CE2D18" w:rsidP="009346F9">
            <w:pPr>
              <w:pStyle w:val="Akapitzlist"/>
              <w:numPr>
                <w:ilvl w:val="0"/>
                <w:numId w:val="9"/>
              </w:numPr>
              <w:spacing w:line="240" w:lineRule="auto"/>
              <w:jc w:val="both"/>
              <w:rPr>
                <w:rFonts w:ascii="Times New Roman" w:hAnsi="Times New Roman"/>
                <w:spacing w:val="-2"/>
              </w:rPr>
            </w:pPr>
            <w:r w:rsidRPr="004E0F02">
              <w:rPr>
                <w:rFonts w:ascii="Times New Roman" w:hAnsi="Times New Roman"/>
                <w:spacing w:val="-2"/>
              </w:rPr>
              <w:t>Określenie</w:t>
            </w:r>
            <w:r w:rsidR="00AF626C" w:rsidRPr="004E0F02">
              <w:rPr>
                <w:rFonts w:ascii="Times New Roman" w:hAnsi="Times New Roman"/>
                <w:spacing w:val="-2"/>
              </w:rPr>
              <w:t xml:space="preserve"> w </w:t>
            </w:r>
            <w:r w:rsidRPr="004E0F02">
              <w:rPr>
                <w:rFonts w:ascii="Times New Roman" w:hAnsi="Times New Roman"/>
                <w:spacing w:val="-2"/>
              </w:rPr>
              <w:t>akcie wykonawczym przez ministra właściwego do spraw informatyzacji zakresu informacji sektora publicznego przeznaczonego do udostępnienia na portalu danych; wykazu podmiotów zobowiązanych do udostępnienia informacji sektora publicznego na portalu danych; harmonogramu udostępniania na portalu danych informacji sektora publicznego oraz metadanych,</w:t>
            </w:r>
            <w:r w:rsidR="00AF626C" w:rsidRPr="004E0F02">
              <w:rPr>
                <w:rFonts w:ascii="Times New Roman" w:hAnsi="Times New Roman"/>
                <w:spacing w:val="-2"/>
              </w:rPr>
              <w:t xml:space="preserve"> a </w:t>
            </w:r>
            <w:r w:rsidRPr="004E0F02">
              <w:rPr>
                <w:rFonts w:ascii="Times New Roman" w:hAnsi="Times New Roman"/>
                <w:spacing w:val="-2"/>
              </w:rPr>
              <w:t>także ich aktualizowania; sposobu udostępniania informacji sektora publicznego (rozporządzenie fakultatywne).</w:t>
            </w:r>
          </w:p>
          <w:p w14:paraId="20D453EC" w14:textId="0C519598" w:rsidR="00CE2D18" w:rsidRPr="004E0F02" w:rsidRDefault="00CE2D18" w:rsidP="009346F9">
            <w:pPr>
              <w:pStyle w:val="Akapitzlist"/>
              <w:numPr>
                <w:ilvl w:val="0"/>
                <w:numId w:val="9"/>
              </w:numPr>
              <w:spacing w:line="240" w:lineRule="auto"/>
              <w:jc w:val="both"/>
              <w:rPr>
                <w:rFonts w:ascii="Times New Roman" w:hAnsi="Times New Roman"/>
                <w:spacing w:val="-2"/>
              </w:rPr>
            </w:pPr>
            <w:r w:rsidRPr="004E0F02">
              <w:rPr>
                <w:rFonts w:ascii="Times New Roman" w:hAnsi="Times New Roman"/>
                <w:spacing w:val="-2"/>
              </w:rPr>
              <w:t>Określenie</w:t>
            </w:r>
            <w:r w:rsidR="00AF626C" w:rsidRPr="004E0F02">
              <w:rPr>
                <w:rFonts w:ascii="Times New Roman" w:hAnsi="Times New Roman"/>
                <w:spacing w:val="-2"/>
              </w:rPr>
              <w:t xml:space="preserve"> w </w:t>
            </w:r>
            <w:r w:rsidRPr="004E0F02">
              <w:rPr>
                <w:rFonts w:ascii="Times New Roman" w:hAnsi="Times New Roman"/>
                <w:spacing w:val="-2"/>
              </w:rPr>
              <w:t>akcie wykonawczym przez Radę Ministrów sposobu weryfikacji informacji sektora publicznego oraz metadanych  udostępnionych na portalu danych; sposobu udostępniania informacji sektora publicznego oraz metadanych na portalu danych; sposobu przetwarzania na portalu danych informacji sektora publicznego oraz metadanych; standardów technicznych prowadzenia portalu oraz minimalnego zestawu elementów metadanych</w:t>
            </w:r>
            <w:r w:rsidR="006B59DF" w:rsidRPr="004E0F02">
              <w:rPr>
                <w:rFonts w:ascii="Times New Roman" w:hAnsi="Times New Roman"/>
                <w:spacing w:val="-2"/>
              </w:rPr>
              <w:t>.</w:t>
            </w:r>
            <w:r w:rsidRPr="004E0F02">
              <w:rPr>
                <w:rFonts w:ascii="Times New Roman" w:hAnsi="Times New Roman"/>
                <w:spacing w:val="-2"/>
              </w:rPr>
              <w:t xml:space="preserve"> </w:t>
            </w:r>
          </w:p>
          <w:p w14:paraId="0CA449D2" w14:textId="27C91323" w:rsidR="00CE2D18" w:rsidRPr="004E0F02" w:rsidRDefault="00CE2D18" w:rsidP="009346F9">
            <w:pPr>
              <w:pStyle w:val="Akapitzlist"/>
              <w:numPr>
                <w:ilvl w:val="0"/>
                <w:numId w:val="9"/>
              </w:numPr>
              <w:spacing w:line="240" w:lineRule="auto"/>
              <w:jc w:val="both"/>
              <w:rPr>
                <w:rFonts w:ascii="Times New Roman" w:hAnsi="Times New Roman"/>
                <w:spacing w:val="-2"/>
              </w:rPr>
            </w:pPr>
            <w:r w:rsidRPr="004E0F02">
              <w:rPr>
                <w:rFonts w:ascii="Times New Roman" w:hAnsi="Times New Roman"/>
                <w:spacing w:val="-2"/>
              </w:rPr>
              <w:t>Określenie</w:t>
            </w:r>
            <w:r w:rsidR="00AF626C" w:rsidRPr="004E0F02">
              <w:rPr>
                <w:rFonts w:ascii="Times New Roman" w:hAnsi="Times New Roman"/>
                <w:spacing w:val="-2"/>
              </w:rPr>
              <w:t xml:space="preserve"> w </w:t>
            </w:r>
            <w:r w:rsidRPr="004E0F02">
              <w:rPr>
                <w:rFonts w:ascii="Times New Roman" w:hAnsi="Times New Roman"/>
                <w:spacing w:val="-2"/>
              </w:rPr>
              <w:t xml:space="preserve">akcie wykonawczym przez </w:t>
            </w:r>
            <w:r w:rsidR="006B59DF" w:rsidRPr="004E0F02">
              <w:rPr>
                <w:rFonts w:ascii="Times New Roman" w:hAnsi="Times New Roman"/>
                <w:spacing w:val="-2"/>
              </w:rPr>
              <w:t xml:space="preserve">właściwych ministrów </w:t>
            </w:r>
            <w:r w:rsidRPr="004E0F02">
              <w:rPr>
                <w:rFonts w:ascii="Times New Roman" w:hAnsi="Times New Roman"/>
                <w:spacing w:val="-2"/>
              </w:rPr>
              <w:t>list</w:t>
            </w:r>
            <w:r w:rsidR="006B59DF" w:rsidRPr="004E0F02">
              <w:rPr>
                <w:rFonts w:ascii="Times New Roman" w:hAnsi="Times New Roman"/>
                <w:spacing w:val="-2"/>
              </w:rPr>
              <w:t xml:space="preserve"> </w:t>
            </w:r>
            <w:r w:rsidRPr="004E0F02">
              <w:rPr>
                <w:rFonts w:ascii="Times New Roman" w:hAnsi="Times New Roman"/>
                <w:spacing w:val="-2"/>
              </w:rPr>
              <w:t>danych</w:t>
            </w:r>
            <w:r w:rsidR="00AF626C" w:rsidRPr="004E0F02">
              <w:rPr>
                <w:rFonts w:ascii="Times New Roman" w:hAnsi="Times New Roman"/>
                <w:spacing w:val="-2"/>
              </w:rPr>
              <w:t xml:space="preserve"> o </w:t>
            </w:r>
            <w:r w:rsidRPr="004E0F02">
              <w:rPr>
                <w:rFonts w:ascii="Times New Roman" w:hAnsi="Times New Roman"/>
                <w:spacing w:val="-2"/>
              </w:rPr>
              <w:t>wysokiej wartości; harmonogramu udostępniania na portalu danych</w:t>
            </w:r>
            <w:r w:rsidR="00AF626C" w:rsidRPr="004E0F02">
              <w:rPr>
                <w:rFonts w:ascii="Times New Roman" w:hAnsi="Times New Roman"/>
                <w:spacing w:val="-2"/>
              </w:rPr>
              <w:t xml:space="preserve"> o </w:t>
            </w:r>
            <w:r w:rsidRPr="004E0F02">
              <w:rPr>
                <w:rFonts w:ascii="Times New Roman" w:hAnsi="Times New Roman"/>
                <w:spacing w:val="-2"/>
              </w:rPr>
              <w:t>wysokiej wartości oraz metadanych lub samych metadanych;  sposobu udostępniania danych</w:t>
            </w:r>
            <w:r w:rsidR="00AF626C" w:rsidRPr="004E0F02">
              <w:rPr>
                <w:rFonts w:ascii="Times New Roman" w:hAnsi="Times New Roman"/>
                <w:spacing w:val="-2"/>
              </w:rPr>
              <w:t xml:space="preserve"> o </w:t>
            </w:r>
            <w:r w:rsidRPr="004E0F02">
              <w:rPr>
                <w:rFonts w:ascii="Times New Roman" w:hAnsi="Times New Roman"/>
                <w:spacing w:val="-2"/>
              </w:rPr>
              <w:t>wysokiej wartości oraz metadanych lub samych metadanych; formatu danych; możliwych warunków ponownego wykorzystywania</w:t>
            </w:r>
            <w:r w:rsidRPr="004E0F02">
              <w:t xml:space="preserve">, </w:t>
            </w:r>
            <w:r w:rsidRPr="004E0F02">
              <w:rPr>
                <w:rFonts w:ascii="Times New Roman" w:hAnsi="Times New Roman"/>
                <w:spacing w:val="-2"/>
              </w:rPr>
              <w:t>częstotliwości aktualizacji danych oraz metadanych</w:t>
            </w:r>
            <w:r w:rsidR="006B59DF" w:rsidRPr="004E0F02">
              <w:rPr>
                <w:rFonts w:ascii="Times New Roman" w:hAnsi="Times New Roman"/>
                <w:spacing w:val="-2"/>
              </w:rPr>
              <w:t>.</w:t>
            </w:r>
          </w:p>
          <w:p w14:paraId="15B0C2E6" w14:textId="77777777" w:rsidR="00CE2D18" w:rsidRPr="004E0F02" w:rsidRDefault="00CE2D18" w:rsidP="009346F9">
            <w:pPr>
              <w:pStyle w:val="Akapitzlist"/>
              <w:numPr>
                <w:ilvl w:val="0"/>
                <w:numId w:val="9"/>
              </w:numPr>
              <w:spacing w:line="240" w:lineRule="auto"/>
              <w:jc w:val="both"/>
              <w:rPr>
                <w:rFonts w:ascii="Times New Roman" w:hAnsi="Times New Roman"/>
                <w:spacing w:val="-2"/>
              </w:rPr>
            </w:pPr>
            <w:r w:rsidRPr="004E0F02">
              <w:rPr>
                <w:rFonts w:ascii="Times New Roman" w:hAnsi="Times New Roman"/>
                <w:spacing w:val="-2"/>
              </w:rPr>
              <w:t>Określenie aktem wykonawczym Komisji Europejskiej listy danych</w:t>
            </w:r>
            <w:r w:rsidR="00AF626C" w:rsidRPr="004E0F02">
              <w:rPr>
                <w:rFonts w:ascii="Times New Roman" w:hAnsi="Times New Roman"/>
                <w:spacing w:val="-2"/>
              </w:rPr>
              <w:t xml:space="preserve"> o </w:t>
            </w:r>
            <w:r w:rsidRPr="004E0F02">
              <w:rPr>
                <w:rFonts w:ascii="Times New Roman" w:hAnsi="Times New Roman"/>
                <w:spacing w:val="-2"/>
              </w:rPr>
              <w:t>wysokiej wartości spośród kategorii tematycznych wymienionych</w:t>
            </w:r>
            <w:r w:rsidR="00AF626C" w:rsidRPr="004E0F02">
              <w:rPr>
                <w:rFonts w:ascii="Times New Roman" w:hAnsi="Times New Roman"/>
                <w:spacing w:val="-2"/>
              </w:rPr>
              <w:t xml:space="preserve"> w </w:t>
            </w:r>
            <w:r w:rsidRPr="004E0F02">
              <w:rPr>
                <w:rFonts w:ascii="Times New Roman" w:hAnsi="Times New Roman"/>
                <w:spacing w:val="-2"/>
              </w:rPr>
              <w:t>Załączniku</w:t>
            </w:r>
            <w:r w:rsidR="00AF626C" w:rsidRPr="004E0F02">
              <w:rPr>
                <w:rFonts w:ascii="Times New Roman" w:hAnsi="Times New Roman"/>
                <w:spacing w:val="-2"/>
              </w:rPr>
              <w:t xml:space="preserve"> I </w:t>
            </w:r>
            <w:r w:rsidRPr="004E0F02">
              <w:rPr>
                <w:rFonts w:ascii="Times New Roman" w:hAnsi="Times New Roman"/>
                <w:spacing w:val="-2"/>
              </w:rPr>
              <w:t>do dyrektywy 2019/1024</w:t>
            </w:r>
            <w:r w:rsidR="00DE365F" w:rsidRPr="004E0F02">
              <w:rPr>
                <w:rFonts w:ascii="Times New Roman" w:hAnsi="Times New Roman"/>
                <w:spacing w:val="-2"/>
              </w:rPr>
              <w:t>/UE</w:t>
            </w:r>
            <w:r w:rsidRPr="004E0F02">
              <w:rPr>
                <w:rFonts w:ascii="Times New Roman" w:hAnsi="Times New Roman"/>
                <w:spacing w:val="-2"/>
              </w:rPr>
              <w:t>.</w:t>
            </w:r>
          </w:p>
        </w:tc>
      </w:tr>
      <w:tr w:rsidR="00CE2D18" w:rsidRPr="004E0F02" w14:paraId="4C69A07F" w14:textId="77777777" w:rsidTr="0001659E">
        <w:trPr>
          <w:trHeight w:val="142"/>
        </w:trPr>
        <w:tc>
          <w:tcPr>
            <w:tcW w:w="5000" w:type="pct"/>
            <w:gridSpan w:val="27"/>
            <w:shd w:val="clear" w:color="auto" w:fill="99CCFF"/>
          </w:tcPr>
          <w:p w14:paraId="44DC244E" w14:textId="77777777" w:rsidR="00CE2D18" w:rsidRPr="004E0F02" w:rsidRDefault="00AF626C" w:rsidP="009346F9">
            <w:pPr>
              <w:widowControl/>
              <w:numPr>
                <w:ilvl w:val="0"/>
                <w:numId w:val="1"/>
              </w:numPr>
              <w:autoSpaceDE/>
              <w:autoSpaceDN/>
              <w:adjustRightInd/>
              <w:spacing w:before="60" w:after="60" w:line="240" w:lineRule="auto"/>
              <w:ind w:left="318" w:hanging="284"/>
              <w:jc w:val="both"/>
              <w:rPr>
                <w:b/>
              </w:rPr>
            </w:pPr>
            <w:r w:rsidRPr="004E0F02">
              <w:rPr>
                <w:b/>
              </w:rPr>
              <w:t xml:space="preserve"> </w:t>
            </w:r>
            <w:r w:rsidRPr="004E0F02">
              <w:rPr>
                <w:b/>
                <w:spacing w:val="-2"/>
                <w:sz w:val="21"/>
                <w:szCs w:val="21"/>
              </w:rPr>
              <w:t>W</w:t>
            </w:r>
            <w:r w:rsidRPr="004E0F02">
              <w:rPr>
                <w:b/>
              </w:rPr>
              <w:t> </w:t>
            </w:r>
            <w:r w:rsidR="00CE2D18" w:rsidRPr="004E0F02">
              <w:rPr>
                <w:b/>
                <w:spacing w:val="-2"/>
                <w:sz w:val="21"/>
                <w:szCs w:val="21"/>
              </w:rPr>
              <w:t>jaki sposób</w:t>
            </w:r>
            <w:r w:rsidRPr="004E0F02">
              <w:rPr>
                <w:b/>
                <w:spacing w:val="-2"/>
                <w:sz w:val="21"/>
                <w:szCs w:val="21"/>
              </w:rPr>
              <w:t xml:space="preserve"> i </w:t>
            </w:r>
            <w:r w:rsidR="00CE2D18" w:rsidRPr="004E0F02">
              <w:rPr>
                <w:b/>
                <w:spacing w:val="-2"/>
                <w:sz w:val="21"/>
                <w:szCs w:val="21"/>
              </w:rPr>
              <w:t>kiedy nastąpi ewaluacja efektów projektu oraz jakie mierniki zostaną zastosowane?</w:t>
            </w:r>
          </w:p>
        </w:tc>
      </w:tr>
      <w:tr w:rsidR="00CE2D18" w:rsidRPr="004E0F02" w14:paraId="0DA2C9D2" w14:textId="77777777" w:rsidTr="0001659E">
        <w:trPr>
          <w:trHeight w:val="142"/>
        </w:trPr>
        <w:tc>
          <w:tcPr>
            <w:tcW w:w="5000" w:type="pct"/>
            <w:gridSpan w:val="27"/>
            <w:shd w:val="clear" w:color="auto" w:fill="FFFFFF"/>
          </w:tcPr>
          <w:p w14:paraId="0B3F1204" w14:textId="08847E9D" w:rsidR="00CE2D18" w:rsidRPr="004E0F02" w:rsidRDefault="00CE2D18" w:rsidP="002118DD">
            <w:pPr>
              <w:spacing w:line="240" w:lineRule="auto"/>
              <w:jc w:val="both"/>
              <w:rPr>
                <w:spacing w:val="-2"/>
              </w:rPr>
            </w:pPr>
            <w:r w:rsidRPr="004E0F02">
              <w:rPr>
                <w:spacing w:val="-2"/>
              </w:rPr>
              <w:t xml:space="preserve">Zostanie przeprowadzone badanie ewaluacyjne ex post </w:t>
            </w:r>
            <w:r w:rsidR="006F34DD" w:rsidRPr="004E0F02">
              <w:rPr>
                <w:spacing w:val="-2"/>
              </w:rPr>
              <w:t xml:space="preserve">regulacji </w:t>
            </w:r>
            <w:r w:rsidRPr="004E0F02">
              <w:rPr>
                <w:spacing w:val="-2"/>
              </w:rPr>
              <w:t xml:space="preserve">co najmniej </w:t>
            </w:r>
            <w:r w:rsidR="00AF626C" w:rsidRPr="004E0F02">
              <w:rPr>
                <w:spacing w:val="-2"/>
              </w:rPr>
              <w:t>2 </w:t>
            </w:r>
            <w:r w:rsidRPr="004E0F02">
              <w:rPr>
                <w:spacing w:val="-2"/>
              </w:rPr>
              <w:t>lata po wejściu</w:t>
            </w:r>
            <w:r w:rsidR="00AF626C" w:rsidRPr="004E0F02">
              <w:rPr>
                <w:spacing w:val="-2"/>
              </w:rPr>
              <w:t xml:space="preserve"> w </w:t>
            </w:r>
            <w:r w:rsidRPr="004E0F02">
              <w:rPr>
                <w:spacing w:val="-2"/>
              </w:rPr>
              <w:t>życie ustawy.</w:t>
            </w:r>
            <w:r w:rsidR="006F34DD" w:rsidRPr="004E0F02">
              <w:t xml:space="preserve"> </w:t>
            </w:r>
            <w:r w:rsidR="006F34DD" w:rsidRPr="004E0F02">
              <w:rPr>
                <w:spacing w:val="-2"/>
              </w:rPr>
              <w:t xml:space="preserve">Na </w:t>
            </w:r>
            <w:r w:rsidR="00E64E14" w:rsidRPr="004E0F02">
              <w:rPr>
                <w:spacing w:val="-2"/>
              </w:rPr>
              <w:t xml:space="preserve">obecnym </w:t>
            </w:r>
            <w:r w:rsidR="006111E5" w:rsidRPr="004E0F02">
              <w:rPr>
                <w:spacing w:val="-2"/>
              </w:rPr>
              <w:t>etapie nie jest możliwe precyzyjne określanie szczegółów badania ewaluacyjnego (w tym wskazanie szczegółów dot. mierników). Niemniej jednak wskaźnikami, które zostaną najprawdopodobniej wykorzystane</w:t>
            </w:r>
            <w:r w:rsidR="00E45B1D" w:rsidRPr="004E0F02">
              <w:rPr>
                <w:spacing w:val="-2"/>
              </w:rPr>
              <w:t xml:space="preserve"> w </w:t>
            </w:r>
            <w:r w:rsidR="006111E5" w:rsidRPr="004E0F02">
              <w:rPr>
                <w:spacing w:val="-2"/>
              </w:rPr>
              <w:t>badaniu będą: wzrost liczby zasobów udostępnianych na portalu dane.gov.pl, ilość dobudowanych kluczy API do baz/zasobów danych, ilość pełnomocników do spraw otwartości danych,</w:t>
            </w:r>
            <w:r w:rsidR="00E45B1D" w:rsidRPr="004E0F02">
              <w:rPr>
                <w:spacing w:val="-2"/>
              </w:rPr>
              <w:t xml:space="preserve"> a </w:t>
            </w:r>
            <w:r w:rsidR="006111E5" w:rsidRPr="004E0F02">
              <w:rPr>
                <w:spacing w:val="-2"/>
              </w:rPr>
              <w:t>także ilość zbiorów danych prywatnych udostępnianych na portalu dane.gov.pl.</w:t>
            </w:r>
          </w:p>
        </w:tc>
      </w:tr>
      <w:tr w:rsidR="00CE2D18" w:rsidRPr="004E0F02" w14:paraId="62CCA0E0" w14:textId="77777777" w:rsidTr="0001659E">
        <w:trPr>
          <w:trHeight w:val="142"/>
        </w:trPr>
        <w:tc>
          <w:tcPr>
            <w:tcW w:w="5000" w:type="pct"/>
            <w:gridSpan w:val="27"/>
            <w:shd w:val="clear" w:color="auto" w:fill="99CCFF"/>
          </w:tcPr>
          <w:p w14:paraId="392530C4" w14:textId="77777777" w:rsidR="00CE2D18" w:rsidRPr="004E0F02" w:rsidRDefault="00CE2D18" w:rsidP="009346F9">
            <w:pPr>
              <w:widowControl/>
              <w:numPr>
                <w:ilvl w:val="0"/>
                <w:numId w:val="1"/>
              </w:numPr>
              <w:autoSpaceDE/>
              <w:autoSpaceDN/>
              <w:adjustRightInd/>
              <w:spacing w:before="60" w:after="60" w:line="240" w:lineRule="auto"/>
              <w:ind w:left="318" w:hanging="284"/>
              <w:jc w:val="both"/>
              <w:rPr>
                <w:b/>
                <w:spacing w:val="-2"/>
              </w:rPr>
            </w:pPr>
            <w:r w:rsidRPr="004E0F02">
              <w:rPr>
                <w:b/>
                <w:spacing w:val="-2"/>
              </w:rPr>
              <w:t xml:space="preserve">Załączniki </w:t>
            </w:r>
            <w:r w:rsidRPr="004E0F02">
              <w:rPr>
                <w:b/>
                <w:spacing w:val="-2"/>
                <w:sz w:val="21"/>
                <w:szCs w:val="21"/>
              </w:rPr>
              <w:t>(istotne dokumenty źródłowe, badania, analizy itp.</w:t>
            </w:r>
            <w:r w:rsidRPr="004E0F02">
              <w:rPr>
                <w:b/>
                <w:spacing w:val="-2"/>
              </w:rPr>
              <w:t xml:space="preserve">) </w:t>
            </w:r>
          </w:p>
        </w:tc>
      </w:tr>
      <w:tr w:rsidR="00CE2D18" w:rsidRPr="004C4AB4" w14:paraId="7D12AF5D" w14:textId="77777777" w:rsidTr="0001659E">
        <w:trPr>
          <w:trHeight w:val="142"/>
        </w:trPr>
        <w:tc>
          <w:tcPr>
            <w:tcW w:w="5000" w:type="pct"/>
            <w:gridSpan w:val="27"/>
            <w:shd w:val="clear" w:color="auto" w:fill="FFFFFF"/>
          </w:tcPr>
          <w:p w14:paraId="5F448AC3" w14:textId="77777777" w:rsidR="00CE2D18" w:rsidRPr="004E0F02" w:rsidRDefault="00CE2D18" w:rsidP="009A0D0F">
            <w:pPr>
              <w:spacing w:line="240" w:lineRule="auto"/>
              <w:jc w:val="both"/>
              <w:rPr>
                <w:i/>
                <w:spacing w:val="-2"/>
                <w:sz w:val="18"/>
                <w:szCs w:val="18"/>
              </w:rPr>
            </w:pPr>
          </w:p>
          <w:p w14:paraId="638C4F6D" w14:textId="3EE9C0AD" w:rsidR="006111E5" w:rsidRPr="004E0F02" w:rsidRDefault="006111E5" w:rsidP="00CE2D18">
            <w:pPr>
              <w:spacing w:line="240" w:lineRule="auto"/>
              <w:jc w:val="both"/>
              <w:rPr>
                <w:b/>
              </w:rPr>
            </w:pPr>
            <w:r w:rsidRPr="004E0F02">
              <w:rPr>
                <w:b/>
              </w:rPr>
              <w:t xml:space="preserve">Lista </w:t>
            </w:r>
            <w:r w:rsidR="00F33FA5" w:rsidRPr="004E0F02">
              <w:rPr>
                <w:b/>
              </w:rPr>
              <w:t>podmiotów</w:t>
            </w:r>
            <w:r w:rsidRPr="004E0F02">
              <w:rPr>
                <w:b/>
              </w:rPr>
              <w:t>, do których projekt zosta</w:t>
            </w:r>
            <w:r w:rsidR="005E571A">
              <w:rPr>
                <w:b/>
              </w:rPr>
              <w:t>ł</w:t>
            </w:r>
            <w:r w:rsidRPr="004E0F02">
              <w:rPr>
                <w:b/>
              </w:rPr>
              <w:t xml:space="preserve"> skierowany</w:t>
            </w:r>
            <w:r w:rsidR="00E45B1D" w:rsidRPr="004E0F02">
              <w:rPr>
                <w:b/>
              </w:rPr>
              <w:t xml:space="preserve"> w </w:t>
            </w:r>
            <w:r w:rsidRPr="004E0F02">
              <w:rPr>
                <w:b/>
              </w:rPr>
              <w:t>procesie konsultacji publicznych oraz opiniowania.</w:t>
            </w:r>
          </w:p>
          <w:p w14:paraId="18CFFAB7" w14:textId="77777777" w:rsidR="00FE76F2" w:rsidRPr="004E0F02" w:rsidRDefault="00FE76F2" w:rsidP="00FE76F2">
            <w:pPr>
              <w:spacing w:line="240" w:lineRule="auto"/>
              <w:jc w:val="both"/>
            </w:pPr>
          </w:p>
          <w:p w14:paraId="7DD20A74" w14:textId="7358CF0E" w:rsidR="00FE76F2" w:rsidRPr="004E0F02" w:rsidRDefault="00FE76F2" w:rsidP="00FE76F2">
            <w:pPr>
              <w:suppressAutoHyphens/>
              <w:spacing w:line="240" w:lineRule="auto"/>
              <w:jc w:val="both"/>
              <w:rPr>
                <w:rFonts w:eastAsia="Times New Roman" w:cstheme="minorHAnsi"/>
                <w:kern w:val="1"/>
                <w:szCs w:val="24"/>
                <w:lang w:eastAsia="hi-IN" w:bidi="hi-IN"/>
              </w:rPr>
            </w:pPr>
            <w:r w:rsidRPr="004E0F02">
              <w:rPr>
                <w:rFonts w:eastAsia="Times New Roman" w:cstheme="minorHAnsi"/>
                <w:b/>
                <w:kern w:val="1"/>
                <w:szCs w:val="24"/>
                <w:lang w:eastAsia="hi-IN" w:bidi="hi-IN"/>
              </w:rPr>
              <w:t>a)</w:t>
            </w:r>
            <w:r w:rsidRPr="004E0F02">
              <w:rPr>
                <w:rFonts w:eastAsia="Times New Roman" w:cstheme="minorHAnsi"/>
                <w:kern w:val="1"/>
                <w:szCs w:val="24"/>
                <w:lang w:eastAsia="hi-IN" w:bidi="hi-IN"/>
              </w:rPr>
              <w:t xml:space="preserve"> </w:t>
            </w:r>
            <w:r w:rsidRPr="004E0F02">
              <w:rPr>
                <w:rFonts w:eastAsia="Times New Roman" w:cstheme="minorHAnsi"/>
                <w:b/>
                <w:kern w:val="1"/>
                <w:szCs w:val="24"/>
                <w:lang w:eastAsia="hi-IN" w:bidi="hi-IN"/>
              </w:rPr>
              <w:t>Projekt zosta</w:t>
            </w:r>
            <w:r w:rsidR="005E571A">
              <w:rPr>
                <w:rFonts w:eastAsia="Times New Roman" w:cstheme="minorHAnsi"/>
                <w:b/>
                <w:kern w:val="1"/>
                <w:szCs w:val="24"/>
                <w:lang w:eastAsia="hi-IN" w:bidi="hi-IN"/>
              </w:rPr>
              <w:t>ł</w:t>
            </w:r>
            <w:r w:rsidRPr="004E0F02">
              <w:rPr>
                <w:rFonts w:eastAsia="Times New Roman" w:cstheme="minorHAnsi"/>
                <w:b/>
                <w:kern w:val="1"/>
                <w:szCs w:val="24"/>
                <w:lang w:eastAsia="hi-IN" w:bidi="hi-IN"/>
              </w:rPr>
              <w:t xml:space="preserve"> skierowany do konsultacji publicznych do co najmniej następujących podmiotów:</w:t>
            </w:r>
            <w:r w:rsidRPr="004E0F02">
              <w:rPr>
                <w:rFonts w:eastAsia="Times New Roman" w:cstheme="minorHAnsi"/>
                <w:kern w:val="1"/>
                <w:szCs w:val="24"/>
                <w:lang w:eastAsia="hi-IN" w:bidi="hi-IN"/>
              </w:rPr>
              <w:t xml:space="preserve"> </w:t>
            </w:r>
          </w:p>
          <w:p w14:paraId="7DE80B62" w14:textId="55F3556B"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Interdyscyplinarne Centrum Modelowania Matematycznego</w:t>
            </w:r>
            <w:r w:rsidR="00E45B1D" w:rsidRPr="004E0F02">
              <w:rPr>
                <w:rFonts w:eastAsia="Times New Roman" w:cstheme="minorHAnsi"/>
                <w:kern w:val="1"/>
                <w:szCs w:val="24"/>
                <w:lang w:eastAsia="hi-IN" w:bidi="hi-IN"/>
              </w:rPr>
              <w:t xml:space="preserve"> i </w:t>
            </w:r>
            <w:r w:rsidRPr="004E0F02">
              <w:rPr>
                <w:rFonts w:eastAsia="Times New Roman" w:cstheme="minorHAnsi"/>
                <w:kern w:val="1"/>
                <w:szCs w:val="24"/>
                <w:lang w:eastAsia="hi-IN" w:bidi="hi-IN"/>
              </w:rPr>
              <w:t>Komputerowego (ICM) Uniwersytet Warszawski</w:t>
            </w:r>
          </w:p>
          <w:p w14:paraId="4A09A98F"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Polska Akademia Umiejętności (PAU)</w:t>
            </w:r>
          </w:p>
          <w:p w14:paraId="6FBAAFA2"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Poznańskie Towarzystwo Przyjaciół Nauk (PTPN)</w:t>
            </w:r>
          </w:p>
          <w:p w14:paraId="67F0CE23"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Polskie Towarzystwo Informatyczne (PTI)</w:t>
            </w:r>
          </w:p>
          <w:p w14:paraId="1C211153" w14:textId="0C05075E"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Polska Izba Informatyki</w:t>
            </w:r>
            <w:r w:rsidR="00E45B1D" w:rsidRPr="004E0F02">
              <w:rPr>
                <w:rFonts w:eastAsia="Times New Roman" w:cstheme="minorHAnsi"/>
                <w:kern w:val="1"/>
                <w:szCs w:val="24"/>
                <w:lang w:eastAsia="hi-IN" w:bidi="hi-IN"/>
              </w:rPr>
              <w:t xml:space="preserve"> i </w:t>
            </w:r>
            <w:r w:rsidRPr="004E0F02">
              <w:rPr>
                <w:rFonts w:eastAsia="Times New Roman" w:cstheme="minorHAnsi"/>
                <w:kern w:val="1"/>
                <w:szCs w:val="24"/>
                <w:lang w:eastAsia="hi-IN" w:bidi="hi-IN"/>
              </w:rPr>
              <w:t>Telekomunikacji (PIIT)</w:t>
            </w:r>
          </w:p>
          <w:p w14:paraId="3BA25340" w14:textId="63931E4F"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Krajowa Izba Gospodarcza Elektro</w:t>
            </w:r>
            <w:r w:rsidR="002A3035" w:rsidRPr="004E0F02">
              <w:rPr>
                <w:rFonts w:eastAsia="Times New Roman" w:cstheme="minorHAnsi"/>
                <w:kern w:val="1"/>
                <w:szCs w:val="24"/>
                <w:lang w:eastAsia="hi-IN" w:bidi="hi-IN"/>
              </w:rPr>
              <w:t>niki</w:t>
            </w:r>
            <w:r w:rsidR="00E45B1D" w:rsidRPr="004E0F02">
              <w:rPr>
                <w:rFonts w:eastAsia="Times New Roman" w:cstheme="minorHAnsi"/>
                <w:kern w:val="1"/>
                <w:szCs w:val="24"/>
                <w:lang w:eastAsia="hi-IN" w:bidi="hi-IN"/>
              </w:rPr>
              <w:t xml:space="preserve"> i </w:t>
            </w:r>
            <w:r w:rsidR="002A3035" w:rsidRPr="004E0F02">
              <w:rPr>
                <w:rFonts w:eastAsia="Times New Roman" w:cstheme="minorHAnsi"/>
                <w:kern w:val="1"/>
                <w:szCs w:val="24"/>
                <w:lang w:eastAsia="hi-IN" w:bidi="hi-IN"/>
              </w:rPr>
              <w:t>Telekomunikacji (KIGEiT)</w:t>
            </w:r>
          </w:p>
          <w:p w14:paraId="5D609DA2"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bCs/>
                <w:kern w:val="1"/>
                <w:szCs w:val="24"/>
                <w:lang w:eastAsia="hi-IN" w:bidi="hi-IN"/>
              </w:rPr>
              <w:t>Sieć Obywatelska Watchdog Polska</w:t>
            </w:r>
          </w:p>
          <w:p w14:paraId="5E8C3275"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bCs/>
                <w:kern w:val="1"/>
                <w:szCs w:val="24"/>
                <w:lang w:eastAsia="hi-IN" w:bidi="hi-IN"/>
              </w:rPr>
              <w:t>Fundacja ePaństwo</w:t>
            </w:r>
          </w:p>
          <w:p w14:paraId="43788DD7"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Panoptykon</w:t>
            </w:r>
          </w:p>
          <w:p w14:paraId="02E65B0F"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Stowarzyszenie Bibliotekarzy Polskich</w:t>
            </w:r>
          </w:p>
          <w:p w14:paraId="5A3FFBC8"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bCs/>
                <w:kern w:val="1"/>
                <w:szCs w:val="24"/>
                <w:lang w:eastAsia="hi-IN" w:bidi="hi-IN"/>
              </w:rPr>
              <w:t>Stowarzyszenie Muzealników Polskich</w:t>
            </w:r>
          </w:p>
          <w:p w14:paraId="63AAFD60"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lastRenderedPageBreak/>
              <w:t>Polska Izba Książki</w:t>
            </w:r>
          </w:p>
          <w:p w14:paraId="31C734ED"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na Rzecz Nauki Polskiej</w:t>
            </w:r>
          </w:p>
          <w:p w14:paraId="424634E6"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Krajowa Izba Producentów Audiowizualnych</w:t>
            </w:r>
          </w:p>
          <w:p w14:paraId="1A683C5D"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Instytut Spraw Publicznych</w:t>
            </w:r>
          </w:p>
          <w:p w14:paraId="2BE08956"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Rozwoju Systemu Edukacji</w:t>
            </w:r>
          </w:p>
          <w:p w14:paraId="60018201"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Stowarzyszenie autorów ZAiKS</w:t>
            </w:r>
          </w:p>
          <w:p w14:paraId="34E5516E"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Nowoczesna Polska</w:t>
            </w:r>
          </w:p>
          <w:p w14:paraId="5C71C678"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Centrum Cyfrowe</w:t>
            </w:r>
          </w:p>
          <w:p w14:paraId="13D7DDD0"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 xml:space="preserve">Stowarzyszenie Wikimedia Polska  </w:t>
            </w:r>
          </w:p>
          <w:p w14:paraId="5B651D79"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Instrat</w:t>
            </w:r>
          </w:p>
          <w:p w14:paraId="51288B8A"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Orange</w:t>
            </w:r>
          </w:p>
          <w:p w14:paraId="1B7E0C25"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Collegium Artium</w:t>
            </w:r>
          </w:p>
          <w:p w14:paraId="4DA4A734"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Stowarzyszenie OpenStreetMap Polska</w:t>
            </w:r>
          </w:p>
          <w:p w14:paraId="40AF65D5"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OpenStax Poland</w:t>
            </w:r>
          </w:p>
          <w:p w14:paraId="23E28475"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Katalyst Education</w:t>
            </w:r>
          </w:p>
          <w:p w14:paraId="44003B72"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Ruch społeczny Obywatele Nauki</w:t>
            </w:r>
          </w:p>
          <w:p w14:paraId="57F54E11"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Fundacja Nowe Media</w:t>
            </w:r>
          </w:p>
          <w:p w14:paraId="78C0D137"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Stowarzyszenie EBIB</w:t>
            </w:r>
          </w:p>
          <w:p w14:paraId="18273287"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Związek Producentów Audio Video</w:t>
            </w:r>
          </w:p>
          <w:p w14:paraId="32CA2F26"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Polska Izba Komunikacji Elektronicznej</w:t>
            </w:r>
          </w:p>
          <w:p w14:paraId="117F90EF"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Stowarzyszenie Filmowców Polskich</w:t>
            </w:r>
          </w:p>
          <w:p w14:paraId="65E7E947"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Związek Pracodawców Branży Internetowej Interactive Advertising Bureau Polska</w:t>
            </w:r>
          </w:p>
          <w:p w14:paraId="0CED3B70" w14:textId="59EDB039"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Federacja Związków Zawodowych Pracowników Kultury</w:t>
            </w:r>
            <w:r w:rsidR="00E45B1D" w:rsidRPr="004E0F02">
              <w:rPr>
                <w:rFonts w:eastAsia="Times New Roman" w:cstheme="minorHAnsi"/>
                <w:kern w:val="1"/>
                <w:szCs w:val="24"/>
                <w:lang w:eastAsia="hi-IN" w:bidi="hi-IN"/>
              </w:rPr>
              <w:t xml:space="preserve"> i </w:t>
            </w:r>
            <w:r w:rsidRPr="004E0F02">
              <w:rPr>
                <w:rFonts w:eastAsia="Times New Roman" w:cstheme="minorHAnsi"/>
                <w:kern w:val="1"/>
                <w:szCs w:val="24"/>
                <w:lang w:eastAsia="hi-IN" w:bidi="hi-IN"/>
              </w:rPr>
              <w:t>Sztuki</w:t>
            </w:r>
          </w:p>
          <w:p w14:paraId="040DE7B8"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Konfederacja Lewiatan</w:t>
            </w:r>
          </w:p>
          <w:p w14:paraId="247F41E1"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Związek Nauczycielstwa Polskiego</w:t>
            </w:r>
          </w:p>
          <w:p w14:paraId="410F2BE1"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Związek Pracodawców Business Centre Club</w:t>
            </w:r>
          </w:p>
          <w:p w14:paraId="7E133A17" w14:textId="2E717FE8"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 xml:space="preserve">Niezależny Samorządny Związek Zawodowy </w:t>
            </w:r>
            <w:r w:rsidR="00E45B1D" w:rsidRPr="004E0F02">
              <w:rPr>
                <w:rFonts w:eastAsia="Times New Roman" w:cstheme="minorHAnsi"/>
                <w:kern w:val="1"/>
                <w:szCs w:val="24"/>
                <w:lang w:eastAsia="hi-IN" w:bidi="hi-IN"/>
              </w:rPr>
              <w:t>„</w:t>
            </w:r>
            <w:r w:rsidRPr="004E0F02">
              <w:rPr>
                <w:rFonts w:eastAsia="Times New Roman" w:cstheme="minorHAnsi"/>
                <w:kern w:val="1"/>
                <w:szCs w:val="24"/>
                <w:lang w:eastAsia="hi-IN" w:bidi="hi-IN"/>
              </w:rPr>
              <w:t>Solidarność</w:t>
            </w:r>
            <w:r w:rsidR="00E45B1D" w:rsidRPr="004E0F02">
              <w:rPr>
                <w:rFonts w:eastAsia="Times New Roman" w:cstheme="minorHAnsi"/>
                <w:kern w:val="1"/>
                <w:szCs w:val="24"/>
                <w:lang w:eastAsia="hi-IN" w:bidi="hi-IN"/>
              </w:rPr>
              <w:t>”</w:t>
            </w:r>
          </w:p>
          <w:p w14:paraId="42A87F03"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Ogólnopolskie Porozumienie Związków Zawodowych</w:t>
            </w:r>
          </w:p>
          <w:p w14:paraId="551D7D44"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Pracodawcy RP</w:t>
            </w:r>
          </w:p>
          <w:p w14:paraId="675B781C"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Związek Rzemiosła Polskiego</w:t>
            </w:r>
          </w:p>
          <w:p w14:paraId="3B1BC548" w14:textId="77777777" w:rsidR="00FE76F2" w:rsidRPr="004E0F02" w:rsidRDefault="00FE76F2" w:rsidP="00FE76F2">
            <w:pPr>
              <w:numPr>
                <w:ilvl w:val="0"/>
                <w:numId w:val="36"/>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Forum Związków Zawodowych</w:t>
            </w:r>
          </w:p>
          <w:p w14:paraId="336C1F58" w14:textId="77777777" w:rsidR="00FE76F2" w:rsidRPr="004E0F02" w:rsidRDefault="00FE76F2" w:rsidP="00FE76F2">
            <w:pPr>
              <w:suppressAutoHyphens/>
              <w:spacing w:line="320" w:lineRule="exact"/>
              <w:ind w:firstLine="425"/>
              <w:jc w:val="both"/>
              <w:rPr>
                <w:rFonts w:eastAsia="Times New Roman" w:cstheme="minorHAnsi"/>
                <w:kern w:val="1"/>
                <w:sz w:val="21"/>
                <w:szCs w:val="21"/>
                <w:lang w:eastAsia="hi-IN" w:bidi="hi-IN"/>
              </w:rPr>
            </w:pPr>
          </w:p>
          <w:p w14:paraId="55FB31AF" w14:textId="3B767711" w:rsidR="00FE76F2" w:rsidRPr="004E0F02" w:rsidRDefault="00FE76F2" w:rsidP="00AD16F9">
            <w:pPr>
              <w:spacing w:line="240" w:lineRule="auto"/>
              <w:rPr>
                <w:rFonts w:eastAsia="Times New Roman" w:cstheme="minorHAnsi"/>
                <w:b/>
                <w:szCs w:val="24"/>
              </w:rPr>
            </w:pPr>
            <w:r w:rsidRPr="004E0F02">
              <w:rPr>
                <w:rFonts w:eastAsia="Times New Roman" w:cstheme="minorHAnsi"/>
                <w:b/>
                <w:szCs w:val="24"/>
              </w:rPr>
              <w:t>b) Projekt zosta</w:t>
            </w:r>
            <w:r w:rsidR="005E571A">
              <w:rPr>
                <w:rFonts w:eastAsia="Times New Roman" w:cstheme="minorHAnsi"/>
                <w:b/>
                <w:szCs w:val="24"/>
              </w:rPr>
              <w:t>ł</w:t>
            </w:r>
            <w:r w:rsidRPr="004E0F02">
              <w:rPr>
                <w:rFonts w:eastAsia="Times New Roman" w:cstheme="minorHAnsi"/>
                <w:b/>
                <w:szCs w:val="24"/>
              </w:rPr>
              <w:t xml:space="preserve"> skierowany do opiniowania do co najmniej następujących podmiotów:</w:t>
            </w:r>
          </w:p>
          <w:p w14:paraId="20ADE1B0" w14:textId="14F843D0"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Prezes Urzędu Ochrony Konkurencji</w:t>
            </w:r>
            <w:r w:rsidR="00E45B1D" w:rsidRPr="004E0F02">
              <w:rPr>
                <w:rFonts w:eastAsia="Times New Roman" w:cstheme="minorHAnsi"/>
                <w:kern w:val="1"/>
                <w:szCs w:val="24"/>
                <w:lang w:eastAsia="hi-IN" w:bidi="hi-IN"/>
              </w:rPr>
              <w:t xml:space="preserve"> i </w:t>
            </w:r>
            <w:r w:rsidRPr="004E0F02">
              <w:rPr>
                <w:rFonts w:eastAsia="Times New Roman" w:cstheme="minorHAnsi"/>
                <w:kern w:val="1"/>
                <w:szCs w:val="24"/>
                <w:lang w:eastAsia="hi-IN" w:bidi="hi-IN"/>
              </w:rPr>
              <w:t>Konsumentów</w:t>
            </w:r>
          </w:p>
          <w:p w14:paraId="49B7F1FB"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 xml:space="preserve">Prezes Urzędu Ochrony Danych Osobowych </w:t>
            </w:r>
          </w:p>
          <w:p w14:paraId="30CB0A3E"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Szef Agencji Bezpieczeństwa Wewnętrznego</w:t>
            </w:r>
          </w:p>
          <w:p w14:paraId="7854C11D" w14:textId="485F995A"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Naukowa</w:t>
            </w:r>
            <w:r w:rsidR="00E45B1D" w:rsidRPr="004E0F02">
              <w:rPr>
                <w:rFonts w:eastAsia="Times New Roman" w:cstheme="minorHAnsi"/>
                <w:kern w:val="1"/>
                <w:szCs w:val="24"/>
                <w:lang w:eastAsia="hi-IN" w:bidi="hi-IN"/>
              </w:rPr>
              <w:t xml:space="preserve"> i </w:t>
            </w:r>
            <w:r w:rsidRPr="004E0F02">
              <w:rPr>
                <w:rFonts w:eastAsia="Times New Roman" w:cstheme="minorHAnsi"/>
                <w:kern w:val="1"/>
                <w:szCs w:val="24"/>
                <w:lang w:eastAsia="hi-IN" w:bidi="hi-IN"/>
              </w:rPr>
              <w:t xml:space="preserve">Akademicka Sieć Komputerowa </w:t>
            </w:r>
            <w:r w:rsidR="00E45B1D" w:rsidRPr="004E0F02">
              <w:rPr>
                <w:rFonts w:eastAsia="Times New Roman" w:cstheme="minorHAnsi"/>
                <w:kern w:val="1"/>
                <w:szCs w:val="24"/>
                <w:lang w:eastAsia="hi-IN" w:bidi="hi-IN"/>
              </w:rPr>
              <w:noBreakHyphen/>
              <w:t xml:space="preserve"> </w:t>
            </w:r>
            <w:r w:rsidRPr="004E0F02">
              <w:rPr>
                <w:rFonts w:eastAsia="Times New Roman" w:cstheme="minorHAnsi"/>
                <w:kern w:val="1"/>
                <w:szCs w:val="24"/>
                <w:lang w:eastAsia="hi-IN" w:bidi="hi-IN"/>
              </w:rPr>
              <w:t>Państwowy Instytut Badawczy</w:t>
            </w:r>
          </w:p>
          <w:p w14:paraId="66817882"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 xml:space="preserve">Prezes Urzędu Komunikacji Elektronicznej </w:t>
            </w:r>
          </w:p>
          <w:p w14:paraId="0FF9008D"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Naczelny Sąd Administracyjny</w:t>
            </w:r>
          </w:p>
          <w:p w14:paraId="5E96D539"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Kancelaria Prezydenta RP</w:t>
            </w:r>
          </w:p>
          <w:p w14:paraId="5B7EC7CB"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Naczelna Dyrekcja Archiwów Państwowych</w:t>
            </w:r>
          </w:p>
          <w:p w14:paraId="29C399A7" w14:textId="775067D6"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Instytut Pamięci Narodowej</w:t>
            </w:r>
            <w:r w:rsidRPr="004E0F02">
              <w:rPr>
                <w:rFonts w:eastAsia="Times New Roman" w:cstheme="minorHAnsi"/>
                <w:szCs w:val="24"/>
              </w:rPr>
              <w:t xml:space="preserve"> </w:t>
            </w:r>
            <w:r w:rsidR="00E45B1D" w:rsidRPr="004E0F02">
              <w:rPr>
                <w:rFonts w:eastAsia="Times New Roman" w:cstheme="minorHAnsi"/>
                <w:szCs w:val="24"/>
              </w:rPr>
              <w:noBreakHyphen/>
              <w:t xml:space="preserve"> </w:t>
            </w:r>
            <w:r w:rsidRPr="004E0F02">
              <w:rPr>
                <w:rFonts w:eastAsia="Times New Roman" w:cstheme="minorHAnsi"/>
                <w:kern w:val="1"/>
                <w:szCs w:val="24"/>
                <w:lang w:eastAsia="hi-IN" w:bidi="hi-IN"/>
              </w:rPr>
              <w:t>Komisja Ścigania Zbrodni przeciwko Narodowi Polskiemu</w:t>
            </w:r>
          </w:p>
          <w:p w14:paraId="4FEA6C84"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Filmoteka Narodowa</w:t>
            </w:r>
          </w:p>
          <w:p w14:paraId="6F51DD6A"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Polski Instytut Sztuki Filmowej</w:t>
            </w:r>
          </w:p>
          <w:p w14:paraId="32A82711"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Narodowy Instytut Audiowizualny</w:t>
            </w:r>
          </w:p>
          <w:p w14:paraId="77EF7EE1"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Biblioteka Narodowa</w:t>
            </w:r>
          </w:p>
          <w:p w14:paraId="39E3776C" w14:textId="6B8D251D"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Narodowy Instytut Muzealnictwa</w:t>
            </w:r>
            <w:r w:rsidR="00E45B1D" w:rsidRPr="004E0F02">
              <w:rPr>
                <w:rFonts w:eastAsia="Times New Roman" w:cstheme="minorHAnsi"/>
                <w:kern w:val="1"/>
                <w:szCs w:val="24"/>
                <w:lang w:eastAsia="hi-IN" w:bidi="hi-IN"/>
              </w:rPr>
              <w:t xml:space="preserve"> i </w:t>
            </w:r>
            <w:r w:rsidRPr="004E0F02">
              <w:rPr>
                <w:rFonts w:eastAsia="Times New Roman" w:cstheme="minorHAnsi"/>
                <w:kern w:val="1"/>
                <w:szCs w:val="24"/>
                <w:lang w:eastAsia="hi-IN" w:bidi="hi-IN"/>
              </w:rPr>
              <w:t>Ochrony Zbiorów</w:t>
            </w:r>
          </w:p>
          <w:p w14:paraId="66694379"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lastRenderedPageBreak/>
              <w:t>Instytut Książki</w:t>
            </w:r>
          </w:p>
          <w:p w14:paraId="6F4E5F9B"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 xml:space="preserve">Narodowy Instytut Dziedzictwa </w:t>
            </w:r>
          </w:p>
          <w:p w14:paraId="2CB6B7AB"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Polska Akademia Nauk</w:t>
            </w:r>
          </w:p>
          <w:p w14:paraId="78B0E66C" w14:textId="259B8B52"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Narodowe Centrum Badań</w:t>
            </w:r>
            <w:r w:rsidR="00E45B1D" w:rsidRPr="004E0F02">
              <w:rPr>
                <w:rFonts w:eastAsia="Times New Roman" w:cstheme="minorHAnsi"/>
                <w:kern w:val="1"/>
                <w:szCs w:val="24"/>
                <w:lang w:eastAsia="hi-IN" w:bidi="hi-IN"/>
              </w:rPr>
              <w:t xml:space="preserve"> i </w:t>
            </w:r>
            <w:r w:rsidRPr="004E0F02">
              <w:rPr>
                <w:rFonts w:eastAsia="Times New Roman" w:cstheme="minorHAnsi"/>
                <w:kern w:val="1"/>
                <w:szCs w:val="24"/>
                <w:lang w:eastAsia="hi-IN" w:bidi="hi-IN"/>
              </w:rPr>
              <w:t>Rozwoju</w:t>
            </w:r>
          </w:p>
          <w:p w14:paraId="3584AC21"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Narodowe Centrum Nauki</w:t>
            </w:r>
          </w:p>
          <w:p w14:paraId="3DCC413C"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 xml:space="preserve">Rada Główna Instytutów Badawczych </w:t>
            </w:r>
          </w:p>
          <w:p w14:paraId="5FEF6D11"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Centrum Sztuki Współczesnej Zamek Ujazdowski</w:t>
            </w:r>
          </w:p>
          <w:p w14:paraId="7F380FF2"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Zachęta Narodowa Galeria Sztuki</w:t>
            </w:r>
          </w:p>
          <w:p w14:paraId="24C8B0E6" w14:textId="1AD7FF2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Muzeum Narodowe</w:t>
            </w:r>
            <w:r w:rsidR="00E45B1D" w:rsidRPr="004E0F02">
              <w:rPr>
                <w:rFonts w:eastAsia="Times New Roman" w:cstheme="minorHAnsi"/>
                <w:kern w:val="1"/>
                <w:szCs w:val="24"/>
                <w:lang w:eastAsia="hi-IN" w:bidi="hi-IN"/>
              </w:rPr>
              <w:t xml:space="preserve"> w </w:t>
            </w:r>
            <w:r w:rsidRPr="004E0F02">
              <w:rPr>
                <w:rFonts w:eastAsia="Times New Roman" w:cstheme="minorHAnsi"/>
                <w:kern w:val="1"/>
                <w:szCs w:val="24"/>
                <w:lang w:eastAsia="hi-IN" w:bidi="hi-IN"/>
              </w:rPr>
              <w:t>Warszawie</w:t>
            </w:r>
          </w:p>
          <w:p w14:paraId="4237364E" w14:textId="2053A822"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Muzeum Narodowe</w:t>
            </w:r>
            <w:r w:rsidR="00E45B1D" w:rsidRPr="004E0F02">
              <w:rPr>
                <w:rFonts w:eastAsia="Times New Roman" w:cstheme="minorHAnsi"/>
                <w:kern w:val="1"/>
                <w:szCs w:val="24"/>
                <w:lang w:eastAsia="hi-IN" w:bidi="hi-IN"/>
              </w:rPr>
              <w:t xml:space="preserve"> w </w:t>
            </w:r>
            <w:r w:rsidRPr="004E0F02">
              <w:rPr>
                <w:rFonts w:eastAsia="Times New Roman" w:cstheme="minorHAnsi"/>
                <w:kern w:val="1"/>
                <w:szCs w:val="24"/>
                <w:lang w:eastAsia="hi-IN" w:bidi="hi-IN"/>
              </w:rPr>
              <w:t>Krakowie</w:t>
            </w:r>
          </w:p>
          <w:p w14:paraId="5B2B2481" w14:textId="68599124"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Muzeum Narodowe</w:t>
            </w:r>
            <w:r w:rsidR="00E45B1D" w:rsidRPr="004E0F02">
              <w:rPr>
                <w:rFonts w:eastAsia="Times New Roman" w:cstheme="minorHAnsi"/>
                <w:kern w:val="1"/>
                <w:szCs w:val="24"/>
                <w:lang w:eastAsia="hi-IN" w:bidi="hi-IN"/>
              </w:rPr>
              <w:t xml:space="preserve"> w </w:t>
            </w:r>
            <w:r w:rsidRPr="004E0F02">
              <w:rPr>
                <w:rFonts w:eastAsia="Times New Roman" w:cstheme="minorHAnsi"/>
                <w:kern w:val="1"/>
                <w:szCs w:val="24"/>
                <w:lang w:eastAsia="hi-IN" w:bidi="hi-IN"/>
              </w:rPr>
              <w:t>Poznaniu</w:t>
            </w:r>
          </w:p>
          <w:p w14:paraId="21243E5C" w14:textId="77777777"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Muzeum Narodowe we Wrocławiu</w:t>
            </w:r>
          </w:p>
          <w:p w14:paraId="06790C91" w14:textId="46CF73FA"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Muzeum Narodowe</w:t>
            </w:r>
            <w:r w:rsidR="00E45B1D" w:rsidRPr="004E0F02">
              <w:rPr>
                <w:rFonts w:eastAsia="Times New Roman" w:cstheme="minorHAnsi"/>
                <w:kern w:val="1"/>
                <w:szCs w:val="24"/>
                <w:lang w:eastAsia="hi-IN" w:bidi="hi-IN"/>
              </w:rPr>
              <w:t xml:space="preserve"> w </w:t>
            </w:r>
            <w:r w:rsidRPr="004E0F02">
              <w:rPr>
                <w:rFonts w:eastAsia="Times New Roman" w:cstheme="minorHAnsi"/>
                <w:kern w:val="1"/>
                <w:szCs w:val="24"/>
                <w:lang w:eastAsia="hi-IN" w:bidi="hi-IN"/>
              </w:rPr>
              <w:t>Szczecinie</w:t>
            </w:r>
          </w:p>
          <w:p w14:paraId="6CE3D28B" w14:textId="1D08FDAB"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Muzeum Narodowe</w:t>
            </w:r>
            <w:r w:rsidR="00E45B1D" w:rsidRPr="004E0F02">
              <w:rPr>
                <w:rFonts w:eastAsia="Times New Roman" w:cstheme="minorHAnsi"/>
                <w:kern w:val="1"/>
                <w:szCs w:val="24"/>
                <w:lang w:eastAsia="hi-IN" w:bidi="hi-IN"/>
              </w:rPr>
              <w:t xml:space="preserve"> w </w:t>
            </w:r>
            <w:r w:rsidRPr="004E0F02">
              <w:rPr>
                <w:rFonts w:eastAsia="Times New Roman" w:cstheme="minorHAnsi"/>
                <w:kern w:val="1"/>
                <w:szCs w:val="24"/>
                <w:lang w:eastAsia="hi-IN" w:bidi="hi-IN"/>
              </w:rPr>
              <w:t>Gdańsku</w:t>
            </w:r>
          </w:p>
          <w:p w14:paraId="7B10FD5A" w14:textId="129BBD01" w:rsidR="00FE76F2" w:rsidRPr="004E0F02" w:rsidRDefault="00FE76F2" w:rsidP="00FE76F2">
            <w:pPr>
              <w:numPr>
                <w:ilvl w:val="0"/>
                <w:numId w:val="37"/>
              </w:numPr>
              <w:suppressAutoHyphens/>
              <w:autoSpaceDE/>
              <w:autoSpaceDN/>
              <w:adjustRightInd/>
              <w:spacing w:line="240" w:lineRule="auto"/>
              <w:jc w:val="both"/>
              <w:rPr>
                <w:rFonts w:eastAsia="Times New Roman" w:cstheme="minorHAnsi"/>
                <w:kern w:val="1"/>
                <w:szCs w:val="24"/>
                <w:lang w:eastAsia="hi-IN" w:bidi="hi-IN"/>
              </w:rPr>
            </w:pPr>
            <w:r w:rsidRPr="004E0F02">
              <w:rPr>
                <w:rFonts w:eastAsia="Times New Roman" w:cstheme="minorHAnsi"/>
                <w:kern w:val="1"/>
                <w:szCs w:val="24"/>
                <w:lang w:eastAsia="hi-IN" w:bidi="hi-IN"/>
              </w:rPr>
              <w:t>Muzeum Narodowe</w:t>
            </w:r>
            <w:r w:rsidR="00E45B1D" w:rsidRPr="004E0F02">
              <w:rPr>
                <w:rFonts w:eastAsia="Times New Roman" w:cstheme="minorHAnsi"/>
                <w:kern w:val="1"/>
                <w:szCs w:val="24"/>
                <w:lang w:eastAsia="hi-IN" w:bidi="hi-IN"/>
              </w:rPr>
              <w:t xml:space="preserve"> w </w:t>
            </w:r>
            <w:r w:rsidRPr="004E0F02">
              <w:rPr>
                <w:rFonts w:eastAsia="Times New Roman" w:cstheme="minorHAnsi"/>
                <w:kern w:val="1"/>
                <w:szCs w:val="24"/>
                <w:lang w:eastAsia="hi-IN" w:bidi="hi-IN"/>
              </w:rPr>
              <w:t xml:space="preserve">Kielcach </w:t>
            </w:r>
          </w:p>
          <w:p w14:paraId="55D46466" w14:textId="77777777" w:rsidR="006111E5" w:rsidRPr="004E0F02" w:rsidRDefault="006111E5" w:rsidP="00CE2D18">
            <w:pPr>
              <w:spacing w:line="240" w:lineRule="auto"/>
              <w:jc w:val="both"/>
            </w:pPr>
          </w:p>
          <w:p w14:paraId="501C7CE3" w14:textId="2C84875E" w:rsidR="00CE2D18" w:rsidRPr="004E0F02" w:rsidRDefault="00767A3A" w:rsidP="00CE2D18">
            <w:pPr>
              <w:spacing w:line="240" w:lineRule="auto"/>
              <w:jc w:val="both"/>
              <w:rPr>
                <w:rStyle w:val="Hipercze"/>
                <w:color w:val="auto"/>
                <w:spacing w:val="-2"/>
              </w:rPr>
            </w:pPr>
            <w:hyperlink r:id="rId16" w:history="1">
              <w:r w:rsidR="00CE2D18" w:rsidRPr="004E0F02">
                <w:rPr>
                  <w:rStyle w:val="Hipercze"/>
                  <w:color w:val="auto"/>
                  <w:spacing w:val="-2"/>
                </w:rPr>
                <w:t>https://www.europeandataportal.eu/pl/using</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00CE2D18" w:rsidRPr="004E0F02">
                <w:rPr>
                  <w:rStyle w:val="Hipercze"/>
                  <w:color w:val="auto"/>
                  <w:spacing w:val="-2"/>
                </w:rPr>
                <w:t>data/benefits</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00CE2D18" w:rsidRPr="004E0F02">
                <w:rPr>
                  <w:rStyle w:val="Hipercze"/>
                  <w:color w:val="auto"/>
                  <w:spacing w:val="-2"/>
                </w:rPr>
                <w:t>of</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00CE2D18" w:rsidRPr="004E0F02">
                <w:rPr>
                  <w:rStyle w:val="Hipercze"/>
                  <w:color w:val="auto"/>
                  <w:spacing w:val="-2"/>
                </w:rPr>
                <w:t>open</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00CE2D18" w:rsidRPr="004E0F02">
                <w:rPr>
                  <w:rStyle w:val="Hipercze"/>
                  <w:color w:val="auto"/>
                  <w:spacing w:val="-2"/>
                </w:rPr>
                <w:t>data</w:t>
              </w:r>
            </w:hyperlink>
          </w:p>
          <w:p w14:paraId="6FEFF684" w14:textId="77777777" w:rsidR="006111E5" w:rsidRPr="004E0F02" w:rsidRDefault="006111E5" w:rsidP="00CE2D18">
            <w:pPr>
              <w:spacing w:line="240" w:lineRule="auto"/>
              <w:jc w:val="both"/>
              <w:rPr>
                <w:spacing w:val="-2"/>
              </w:rPr>
            </w:pPr>
          </w:p>
          <w:p w14:paraId="63D10EED" w14:textId="005608CF" w:rsidR="00CE2D18" w:rsidRPr="004E0F02" w:rsidRDefault="00CE2D18" w:rsidP="00CE2D18">
            <w:pPr>
              <w:spacing w:line="240" w:lineRule="auto"/>
              <w:jc w:val="both"/>
              <w:rPr>
                <w:spacing w:val="-2"/>
              </w:rPr>
            </w:pPr>
            <w:r w:rsidRPr="004E0F02">
              <w:rPr>
                <w:spacing w:val="-2"/>
              </w:rPr>
              <w:t>Miesięczna informacja</w:t>
            </w:r>
            <w:r w:rsidR="00AF626C" w:rsidRPr="004E0F02">
              <w:rPr>
                <w:spacing w:val="-2"/>
              </w:rPr>
              <w:t xml:space="preserve"> o </w:t>
            </w:r>
            <w:r w:rsidRPr="004E0F02">
              <w:rPr>
                <w:spacing w:val="-2"/>
              </w:rPr>
              <w:t>podmiotach gospodarki narodowej</w:t>
            </w:r>
            <w:r w:rsidR="00AF626C" w:rsidRPr="004E0F02">
              <w:rPr>
                <w:spacing w:val="-2"/>
              </w:rPr>
              <w:t xml:space="preserve"> w </w:t>
            </w:r>
            <w:r w:rsidRPr="004E0F02">
              <w:rPr>
                <w:spacing w:val="-2"/>
              </w:rPr>
              <w:t>rejestrze REGON sierpień 2019, GUS (</w:t>
            </w:r>
            <w:hyperlink r:id="rId17" w:history="1">
              <w:r w:rsidRPr="004E0F02">
                <w:rPr>
                  <w:rStyle w:val="Hipercze"/>
                  <w:color w:val="auto"/>
                  <w:spacing w:val="-2"/>
                </w:rPr>
                <w:t>https://stat.gov.pl/obszary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tematyczne/podmioty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gospodarcze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wyniki</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finansowe/zmiany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strukturalne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grup</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podmiotow/miesieczna</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informacja</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o</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podmiotach</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gospodarki</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narodowej</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w</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rejestrze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regon</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sierpien</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2019,4,26.html</w:t>
              </w:r>
            </w:hyperlink>
            <w:r w:rsidRPr="004E0F02">
              <w:rPr>
                <w:spacing w:val="-2"/>
              </w:rPr>
              <w:t>)</w:t>
            </w:r>
          </w:p>
          <w:p w14:paraId="6636865E" w14:textId="77777777" w:rsidR="00CE2D18" w:rsidRPr="004E0F02" w:rsidRDefault="00CE2D18" w:rsidP="00CE2D18">
            <w:pPr>
              <w:spacing w:line="240" w:lineRule="auto"/>
              <w:jc w:val="both"/>
              <w:rPr>
                <w:spacing w:val="-2"/>
              </w:rPr>
            </w:pPr>
          </w:p>
          <w:p w14:paraId="54CDB00B" w14:textId="7D1EB1D9" w:rsidR="00CE2D18" w:rsidRPr="004E0F02" w:rsidRDefault="00CE2D18" w:rsidP="00CE2D18">
            <w:pPr>
              <w:spacing w:line="240" w:lineRule="auto"/>
              <w:jc w:val="both"/>
              <w:rPr>
                <w:spacing w:val="-2"/>
              </w:rPr>
            </w:pPr>
            <w:r w:rsidRPr="004E0F02">
              <w:rPr>
                <w:spacing w:val="-2"/>
              </w:rPr>
              <w:t xml:space="preserve">  Miesięczna informacja</w:t>
            </w:r>
            <w:r w:rsidR="00AF626C" w:rsidRPr="004E0F02">
              <w:rPr>
                <w:spacing w:val="-2"/>
              </w:rPr>
              <w:t xml:space="preserve"> o </w:t>
            </w:r>
            <w:r w:rsidRPr="004E0F02">
              <w:rPr>
                <w:spacing w:val="-2"/>
              </w:rPr>
              <w:t>podmiotach gospodarki narodowej</w:t>
            </w:r>
            <w:r w:rsidR="00AF626C" w:rsidRPr="004E0F02">
              <w:rPr>
                <w:spacing w:val="-2"/>
              </w:rPr>
              <w:t xml:space="preserve"> w </w:t>
            </w:r>
            <w:r w:rsidRPr="004E0F02">
              <w:rPr>
                <w:spacing w:val="-2"/>
              </w:rPr>
              <w:t>rejestrze REGON sierpień 2019, GUS (</w:t>
            </w:r>
            <w:hyperlink r:id="rId18" w:history="1">
              <w:r w:rsidRPr="004E0F02">
                <w:rPr>
                  <w:rStyle w:val="Hipercze"/>
                  <w:color w:val="auto"/>
                  <w:spacing w:val="-2"/>
                </w:rPr>
                <w:t>https://stat.gov.pl/obszary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tematyczne/podmioty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gospodarcze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wyniki</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finansowe/zmiany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strukturalne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grup</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podmiotow/miesieczna</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informacja</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o</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podmiotach</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gospodarki</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narodowej</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w</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rejestrze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regon</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sierpien</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2019,4,26.html</w:t>
              </w:r>
            </w:hyperlink>
            <w:r w:rsidRPr="004E0F02">
              <w:rPr>
                <w:spacing w:val="-2"/>
              </w:rPr>
              <w:t>)</w:t>
            </w:r>
          </w:p>
          <w:p w14:paraId="71E78569" w14:textId="77777777" w:rsidR="00CE2D18" w:rsidRPr="004E0F02" w:rsidRDefault="00CE2D18" w:rsidP="00CE2D18">
            <w:pPr>
              <w:spacing w:line="240" w:lineRule="auto"/>
              <w:jc w:val="both"/>
              <w:rPr>
                <w:spacing w:val="-2"/>
              </w:rPr>
            </w:pPr>
          </w:p>
          <w:p w14:paraId="59F6112B" w14:textId="25769855" w:rsidR="00CE2D18" w:rsidRPr="004E0F02" w:rsidRDefault="00CE2D18" w:rsidP="00CE2D18">
            <w:pPr>
              <w:spacing w:line="240" w:lineRule="auto"/>
              <w:jc w:val="both"/>
              <w:rPr>
                <w:spacing w:val="-2"/>
              </w:rPr>
            </w:pPr>
            <w:r w:rsidRPr="004E0F02">
              <w:rPr>
                <w:spacing w:val="-2"/>
              </w:rPr>
              <w:t xml:space="preserve">  Miesięczna informacja</w:t>
            </w:r>
            <w:r w:rsidR="00AF626C" w:rsidRPr="004E0F02">
              <w:rPr>
                <w:spacing w:val="-2"/>
              </w:rPr>
              <w:t xml:space="preserve"> o </w:t>
            </w:r>
            <w:r w:rsidRPr="004E0F02">
              <w:rPr>
                <w:spacing w:val="-2"/>
              </w:rPr>
              <w:t>podmiotach gospodarki narodowej</w:t>
            </w:r>
            <w:r w:rsidR="00AF626C" w:rsidRPr="004E0F02">
              <w:rPr>
                <w:spacing w:val="-2"/>
              </w:rPr>
              <w:t xml:space="preserve"> w </w:t>
            </w:r>
            <w:r w:rsidRPr="004E0F02">
              <w:rPr>
                <w:spacing w:val="-2"/>
              </w:rPr>
              <w:t>rejestrze REGON sierpień 2019, GUS (</w:t>
            </w:r>
            <w:hyperlink r:id="rId19" w:history="1">
              <w:r w:rsidRPr="004E0F02">
                <w:rPr>
                  <w:rStyle w:val="Hipercze"/>
                  <w:color w:val="auto"/>
                  <w:spacing w:val="-2"/>
                </w:rPr>
                <w:t>https://stat.gov.pl/obszary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tematyczne/podmioty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gospodarcze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wyniki</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finansowe/zmiany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strukturalne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grup</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podmiotow/miesieczna</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informacja</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o</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podmiotach</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gospodarki</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narodowej</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w</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rejestrze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regon</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sierpien</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2019,4,26.html</w:t>
              </w:r>
            </w:hyperlink>
            <w:r w:rsidRPr="004E0F02">
              <w:rPr>
                <w:spacing w:val="-2"/>
              </w:rPr>
              <w:t>)</w:t>
            </w:r>
          </w:p>
          <w:p w14:paraId="4FFD7A8F" w14:textId="77777777" w:rsidR="00CE2D18" w:rsidRPr="004E0F02" w:rsidRDefault="00CE2D18" w:rsidP="00CE2D18">
            <w:pPr>
              <w:spacing w:line="240" w:lineRule="auto"/>
              <w:jc w:val="both"/>
              <w:rPr>
                <w:spacing w:val="-2"/>
              </w:rPr>
            </w:pPr>
          </w:p>
          <w:p w14:paraId="4A5394EB" w14:textId="37B3366F" w:rsidR="00CE2D18" w:rsidRPr="004C4AB4" w:rsidRDefault="00CE2D18" w:rsidP="00CE2D18">
            <w:pPr>
              <w:spacing w:line="240" w:lineRule="auto"/>
              <w:jc w:val="both"/>
              <w:rPr>
                <w:spacing w:val="-2"/>
              </w:rPr>
            </w:pPr>
            <w:r w:rsidRPr="004E0F02">
              <w:rPr>
                <w:spacing w:val="-2"/>
              </w:rPr>
              <w:t xml:space="preserve">  Miesięczna informacja</w:t>
            </w:r>
            <w:r w:rsidR="00AF626C" w:rsidRPr="004E0F02">
              <w:rPr>
                <w:spacing w:val="-2"/>
              </w:rPr>
              <w:t xml:space="preserve"> o </w:t>
            </w:r>
            <w:r w:rsidRPr="004E0F02">
              <w:rPr>
                <w:spacing w:val="-2"/>
              </w:rPr>
              <w:t>podmiotach gospodarki narodowej</w:t>
            </w:r>
            <w:r w:rsidR="00AF626C" w:rsidRPr="004E0F02">
              <w:rPr>
                <w:spacing w:val="-2"/>
              </w:rPr>
              <w:t xml:space="preserve"> w </w:t>
            </w:r>
            <w:r w:rsidRPr="004E0F02">
              <w:rPr>
                <w:spacing w:val="-2"/>
              </w:rPr>
              <w:t>rejestrze REGON sierpień 2019, GUS (</w:t>
            </w:r>
            <w:hyperlink r:id="rId20" w:history="1">
              <w:r w:rsidRPr="004E0F02">
                <w:rPr>
                  <w:rStyle w:val="Hipercze"/>
                  <w:color w:val="auto"/>
                  <w:spacing w:val="-2"/>
                </w:rPr>
                <w:t>https://stat.gov.pl/obszary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tematyczne/podmioty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gospodarcze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wyniki</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finansowe/zmiany</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strukturalne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grup</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podmiotow/miesieczna</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informacja</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o</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podmiotach</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gospodarki</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narodowej</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w</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rejestrze</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regon</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sierpien</w:t>
              </w:r>
              <w:r w:rsidR="00AF626C" w:rsidRPr="004E0F02">
                <w:rPr>
                  <w:rStyle w:val="Hipercze"/>
                  <w:color w:val="auto"/>
                  <w:spacing w:val="-2"/>
                </w:rPr>
                <w:softHyphen/>
              </w:r>
              <w:r w:rsidR="00E45B1D" w:rsidRPr="004E0F02">
                <w:rPr>
                  <w:rStyle w:val="Hipercze"/>
                  <w:color w:val="auto"/>
                  <w:spacing w:val="-2"/>
                </w:rPr>
                <w:softHyphen/>
              </w:r>
              <w:r w:rsidR="00E45B1D" w:rsidRPr="004E0F02">
                <w:rPr>
                  <w:rStyle w:val="Hipercze"/>
                  <w:color w:val="auto"/>
                  <w:spacing w:val="-2"/>
                </w:rPr>
                <w:noBreakHyphen/>
              </w:r>
              <w:r w:rsidRPr="004E0F02">
                <w:rPr>
                  <w:rStyle w:val="Hipercze"/>
                  <w:color w:val="auto"/>
                  <w:spacing w:val="-2"/>
                </w:rPr>
                <w:t>2019,4,26.html</w:t>
              </w:r>
            </w:hyperlink>
            <w:r w:rsidRPr="004E0F02">
              <w:rPr>
                <w:spacing w:val="-2"/>
              </w:rPr>
              <w:t>)</w:t>
            </w:r>
          </w:p>
          <w:p w14:paraId="0384D477" w14:textId="77777777" w:rsidR="00CE2D18" w:rsidRPr="004C4AB4" w:rsidRDefault="00CE2D18" w:rsidP="009A0D0F">
            <w:pPr>
              <w:spacing w:line="240" w:lineRule="auto"/>
              <w:jc w:val="both"/>
              <w:rPr>
                <w:spacing w:val="-2"/>
              </w:rPr>
            </w:pPr>
          </w:p>
          <w:p w14:paraId="19D78B96" w14:textId="77777777" w:rsidR="00CE2D18" w:rsidRPr="004C4AB4" w:rsidRDefault="00CE2D18" w:rsidP="009A0D0F">
            <w:pPr>
              <w:spacing w:line="240" w:lineRule="auto"/>
              <w:jc w:val="both"/>
              <w:rPr>
                <w:spacing w:val="-2"/>
              </w:rPr>
            </w:pPr>
          </w:p>
        </w:tc>
      </w:tr>
    </w:tbl>
    <w:p w14:paraId="50DE73A0" w14:textId="77777777" w:rsidR="00AC69AB" w:rsidRPr="004C4AB4" w:rsidRDefault="00AC69AB" w:rsidP="00F33FA5">
      <w:pPr>
        <w:spacing w:line="240" w:lineRule="auto"/>
        <w:jc w:val="both"/>
        <w:rPr>
          <w:rFonts w:ascii="Times" w:hAnsi="Times"/>
        </w:rPr>
      </w:pPr>
    </w:p>
    <w:p w14:paraId="0106B03F" w14:textId="77777777" w:rsidR="00AC69AB" w:rsidRPr="004C4AB4" w:rsidRDefault="00AC69AB" w:rsidP="00F33FA5">
      <w:pPr>
        <w:spacing w:line="240" w:lineRule="auto"/>
        <w:jc w:val="both"/>
      </w:pPr>
    </w:p>
    <w:p w14:paraId="78A422AC" w14:textId="77777777" w:rsidR="00F33FA5" w:rsidRPr="004C4AB4" w:rsidRDefault="00F33FA5" w:rsidP="00CE2D18">
      <w:pPr>
        <w:widowControl/>
        <w:autoSpaceDE/>
        <w:autoSpaceDN/>
        <w:adjustRightInd/>
        <w:rPr>
          <w:rFonts w:ascii="Times" w:hAnsi="Times"/>
        </w:rPr>
      </w:pPr>
    </w:p>
    <w:sectPr w:rsidR="00F33FA5" w:rsidRPr="004C4AB4" w:rsidSect="00D731CB">
      <w:headerReference w:type="default" r:id="rId21"/>
      <w:type w:val="continuous"/>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D2347" w14:textId="77777777" w:rsidR="00767A3A" w:rsidRDefault="00767A3A">
      <w:r>
        <w:separator/>
      </w:r>
    </w:p>
  </w:endnote>
  <w:endnote w:type="continuationSeparator" w:id="0">
    <w:p w14:paraId="634E96F6" w14:textId="77777777" w:rsidR="00767A3A" w:rsidRDefault="00767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altName w:val="Cambria Math"/>
    <w:charset w:val="EE"/>
    <w:family w:val="swiss"/>
    <w:pitch w:val="variable"/>
    <w:sig w:usb0="00000001" w:usb1="02000001" w:usb2="00000000" w:usb3="00000000" w:csb0="0000019F" w:csb1="00000000"/>
  </w:font>
  <w:font w:name="La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4DD99" w14:textId="77777777" w:rsidR="00767A3A" w:rsidRDefault="00767A3A">
      <w:r>
        <w:separator/>
      </w:r>
    </w:p>
  </w:footnote>
  <w:footnote w:type="continuationSeparator" w:id="0">
    <w:p w14:paraId="7F218332" w14:textId="77777777" w:rsidR="00767A3A" w:rsidRDefault="00767A3A">
      <w:r>
        <w:continuationSeparator/>
      </w:r>
    </w:p>
  </w:footnote>
  <w:footnote w:id="1">
    <w:p w14:paraId="1BB0EBC9" w14:textId="5CB78906" w:rsidR="007F402B" w:rsidRPr="003A66ED" w:rsidRDefault="007F402B" w:rsidP="00EF28B7">
      <w:pPr>
        <w:pStyle w:val="ODNONIKtreodnonika"/>
      </w:pPr>
      <w:r>
        <w:rPr>
          <w:rStyle w:val="Odwoanieprzypisudolnego"/>
        </w:rPr>
        <w:footnoteRef/>
      </w:r>
      <w:r>
        <w:rPr>
          <w:rStyle w:val="IGindeksgrny"/>
        </w:rPr>
        <w:t>)</w:t>
      </w:r>
      <w:r>
        <w:tab/>
      </w:r>
      <w:r w:rsidRPr="003A66ED">
        <w:t>Niniejsza ustawa dokonuje w zakresie swojej regulacji wdrożenia postanowień dyrektywy 2019/1024</w:t>
      </w:r>
      <w:r>
        <w:t>/UE</w:t>
      </w:r>
      <w:r w:rsidRPr="003A66ED">
        <w:t xml:space="preserve"> </w:t>
      </w:r>
      <w:r>
        <w:t>Parlamentu Europejskiego i Rady</w:t>
      </w:r>
      <w:r w:rsidRPr="003A66ED">
        <w:t xml:space="preserve"> z dnia 20 czerwca 2019 r. w sprawie otwartych danych i ponownego wykorzystywania informacji sektora publicznego </w:t>
      </w:r>
      <w:r>
        <w:t>(Dz. Urz. UE L 172 z 26.06.2019, str. 56</w:t>
      </w:r>
      <w:r w:rsidRPr="003A66ED">
        <w:t>)</w:t>
      </w:r>
      <w:r>
        <w:t>.</w:t>
      </w:r>
    </w:p>
  </w:footnote>
  <w:footnote w:id="2">
    <w:p w14:paraId="6D523B75" w14:textId="05902C98" w:rsidR="007F402B" w:rsidRDefault="007F402B" w:rsidP="005F71E2">
      <w:pPr>
        <w:pStyle w:val="ODNONIKtreodnonika"/>
      </w:pPr>
      <w:r>
        <w:rPr>
          <w:rStyle w:val="Odwoanieprzypisudolnego"/>
        </w:rPr>
        <w:footnoteRef/>
      </w:r>
      <w:r w:rsidRPr="005F71E2">
        <w:rPr>
          <w:rStyle w:val="IGindeksgrny"/>
        </w:rPr>
        <w:t xml:space="preserve">) </w:t>
      </w:r>
      <w:r>
        <w:t xml:space="preserve">  </w:t>
      </w:r>
      <w:r w:rsidRPr="005F71E2">
        <w:t>Niniejszą ustawą zmienia się ustaw</w:t>
      </w:r>
      <w:r>
        <w:t xml:space="preserve">y: </w:t>
      </w:r>
      <w:r w:rsidRPr="00394F51">
        <w:t>z dnia 17 maja 1989 r. – Prawo geodezyjne i kartograficzne, z dnia 29 czerwca 1995 r. o statystyce publicznej, z dnia 21 listopada 1996 r. o muzeach, z dnia 20 czerwca 1997 r. – Prawo o ruchu drogowym, z dnia 20 sierpnia 1997 r. o Krajowym Rejestrze Sądowym, z dnia 6 września 2001</w:t>
      </w:r>
      <w:r>
        <w:t> </w:t>
      </w:r>
      <w:r w:rsidRPr="00394F51">
        <w:t xml:space="preserve">r.   o dostępie do informacji publicznej, z dnia 17 lutego 2005 r. o informatyzacji działalności podmiotów realizujących zadania publiczne, </w:t>
      </w:r>
      <w:r>
        <w:t xml:space="preserve">z dnia </w:t>
      </w:r>
      <w:r w:rsidRPr="00CE5DA0">
        <w:t>8 września 2006 r. o Państwowym Ratownictwie Medycznym</w:t>
      </w:r>
      <w:r>
        <w:t xml:space="preserve">, </w:t>
      </w:r>
      <w:r w:rsidRPr="00394F51">
        <w:t>z dnia 24 września 2010 r. o ewidencji ludności, ustawie z dnia 20 lipca 2017</w:t>
      </w:r>
      <w:r>
        <w:t> </w:t>
      </w:r>
      <w:r w:rsidRPr="00394F51">
        <w:t xml:space="preserve">r. – Prawo wodne, </w:t>
      </w:r>
      <w:r w:rsidRPr="00CE5DA0">
        <w:t>z dnia 24 listopada 2017 r. o imprezach turystycznych i powiązanych usługach turystycznych</w:t>
      </w:r>
      <w:r>
        <w:t xml:space="preserve">, </w:t>
      </w:r>
      <w:r w:rsidRPr="00394F51">
        <w:t>z dnia 6 marca 2018 r. o Centralnej Ewidencji i Informacji o Działalności Gospodarczej i Punkci</w:t>
      </w:r>
      <w:r>
        <w:t xml:space="preserve">e Informacji dla Przedsiębiorcy oraz uchyla się ustawę z dnia </w:t>
      </w:r>
      <w:r w:rsidRPr="00394F51">
        <w:t>25 lutego 2016 r. o</w:t>
      </w:r>
      <w:r>
        <w:t> </w:t>
      </w:r>
      <w:r w:rsidRPr="00394F51">
        <w:t>ponownym wykorzystywaniu informacji sektora publicznego</w:t>
      </w:r>
      <w:r>
        <w:t>.</w:t>
      </w:r>
    </w:p>
  </w:footnote>
  <w:footnote w:id="3">
    <w:p w14:paraId="06BFF59D" w14:textId="48220C2B" w:rsidR="007F402B" w:rsidRDefault="007F402B" w:rsidP="0008236A">
      <w:pPr>
        <w:pStyle w:val="ODNONIKtreodnonika"/>
      </w:pPr>
      <w:r>
        <w:rPr>
          <w:rStyle w:val="Odwoanieprzypisudolnego"/>
        </w:rPr>
        <w:footnoteRef/>
      </w:r>
      <w:r w:rsidRPr="0008236A">
        <w:rPr>
          <w:rStyle w:val="IGindeksgrny"/>
        </w:rPr>
        <w:t>)</w:t>
      </w:r>
      <w:r>
        <w:t xml:space="preserve"> </w:t>
      </w:r>
      <w:r>
        <w:tab/>
        <w:t>Zmiany tekstu jednolitego wymienionej ustawy zostały ogłoszone w Dz. U. z 2019 r. poz. 1622, 1649, 2020 i 2473 oraz z 2020 r. poz. 284, 374, 568, 695 i 1175.</w:t>
      </w:r>
    </w:p>
  </w:footnote>
  <w:footnote w:id="4">
    <w:p w14:paraId="0D3E3020" w14:textId="77777777" w:rsidR="007F402B" w:rsidRDefault="007F402B" w:rsidP="00CA0062">
      <w:pPr>
        <w:pStyle w:val="Tekstprzypisudolnego"/>
        <w:spacing w:line="240" w:lineRule="auto"/>
        <w:ind w:left="284" w:hanging="284"/>
        <w:jc w:val="both"/>
        <w:rPr>
          <w:rFonts w:ascii="Times New Roman" w:hAnsi="Times New Roman"/>
          <w:sz w:val="20"/>
          <w:szCs w:val="20"/>
        </w:rPr>
      </w:pPr>
      <w:r w:rsidRPr="00D731CB">
        <w:rPr>
          <w:rStyle w:val="Odwoanieprzypisudolnego"/>
          <w:rFonts w:ascii="Times New Roman" w:hAnsi="Times New Roman"/>
          <w:sz w:val="20"/>
          <w:szCs w:val="20"/>
        </w:rPr>
        <w:t>4)</w:t>
      </w:r>
      <w:r w:rsidRPr="00D731CB">
        <w:rPr>
          <w:rFonts w:ascii="Times New Roman" w:hAnsi="Times New Roman"/>
          <w:sz w:val="20"/>
          <w:szCs w:val="20"/>
        </w:rPr>
        <w:tab/>
      </w:r>
      <w:r w:rsidRPr="006F1EE3">
        <w:rPr>
          <w:rFonts w:ascii="Times New Roman" w:hAnsi="Times New Roman"/>
          <w:sz w:val="20"/>
          <w:szCs w:val="20"/>
        </w:rPr>
        <w:t xml:space="preserve">Zmiany wymienionego rozporządzenia zostały ogłoszone w Dz. Urz. UE L </w:t>
      </w:r>
      <w:r>
        <w:rPr>
          <w:rFonts w:ascii="Times New Roman" w:hAnsi="Times New Roman"/>
          <w:sz w:val="20"/>
          <w:szCs w:val="20"/>
        </w:rPr>
        <w:t xml:space="preserve">240 z 16.09.2015, str. 65 oraz </w:t>
      </w:r>
      <w:r w:rsidRPr="006F1EE3">
        <w:rPr>
          <w:rFonts w:ascii="Times New Roman" w:hAnsi="Times New Roman"/>
          <w:sz w:val="20"/>
          <w:szCs w:val="20"/>
        </w:rPr>
        <w:t xml:space="preserve">Dz. </w:t>
      </w:r>
    </w:p>
    <w:p w14:paraId="25C8F5EC" w14:textId="77777777" w:rsidR="007F402B" w:rsidRPr="006F1EE3" w:rsidRDefault="007F402B" w:rsidP="00CA0062">
      <w:pPr>
        <w:pStyle w:val="Tekstprzypisudolnego"/>
        <w:spacing w:line="240" w:lineRule="auto"/>
        <w:ind w:left="284"/>
        <w:jc w:val="both"/>
        <w:rPr>
          <w:sz w:val="20"/>
          <w:szCs w:val="20"/>
        </w:rPr>
      </w:pPr>
      <w:r w:rsidRPr="006F1EE3">
        <w:rPr>
          <w:rFonts w:ascii="Times New Roman" w:hAnsi="Times New Roman"/>
          <w:sz w:val="20"/>
          <w:szCs w:val="20"/>
        </w:rPr>
        <w:t>Urz. UE L 354 z</w:t>
      </w:r>
      <w:r>
        <w:rPr>
          <w:rFonts w:ascii="Times New Roman" w:hAnsi="Times New Roman"/>
          <w:sz w:val="20"/>
          <w:szCs w:val="20"/>
        </w:rPr>
        <w:t xml:space="preserve"> 23.12.2016, str. 22.</w:t>
      </w:r>
      <w:r w:rsidRPr="006F1EE3">
        <w:rPr>
          <w:rFonts w:ascii="Times New Roman" w:hAnsi="Times New Roman"/>
          <w:sz w:val="20"/>
          <w:szCs w:val="20"/>
        </w:rPr>
        <w:t xml:space="preserve"> </w:t>
      </w:r>
    </w:p>
  </w:footnote>
  <w:footnote w:id="5">
    <w:p w14:paraId="298F1E5A" w14:textId="77777777" w:rsidR="007F402B" w:rsidRPr="00552726" w:rsidRDefault="007F402B" w:rsidP="00CA0062">
      <w:pPr>
        <w:pStyle w:val="Tekstprzypisudolnego"/>
        <w:spacing w:line="240" w:lineRule="auto"/>
        <w:ind w:left="284" w:hanging="284"/>
        <w:jc w:val="both"/>
        <w:rPr>
          <w:rFonts w:ascii="Times New Roman" w:hAnsi="Times New Roman"/>
          <w:sz w:val="20"/>
          <w:szCs w:val="20"/>
        </w:rPr>
      </w:pPr>
      <w:r w:rsidRPr="00552726">
        <w:rPr>
          <w:rStyle w:val="Odwoanieprzypisudolnego"/>
          <w:rFonts w:ascii="Times New Roman" w:hAnsi="Times New Roman"/>
          <w:sz w:val="20"/>
          <w:szCs w:val="20"/>
        </w:rPr>
        <w:t>5)</w:t>
      </w:r>
      <w:r w:rsidRPr="00552726">
        <w:rPr>
          <w:rFonts w:ascii="Times New Roman" w:hAnsi="Times New Roman"/>
          <w:sz w:val="20"/>
          <w:szCs w:val="20"/>
        </w:rPr>
        <w:tab/>
        <w:t xml:space="preserve">Zmiany wymienionego rozporządzenia zostały ogłoszone w Dz. Urz. UE L 212 z 22.08.2018, str. 1, Dz. Urz. UE L 11 z 14.01.2019, str. 1 oraz Dz. Urz. UE L 165 z 27.05.2020, str. 1. </w:t>
      </w:r>
    </w:p>
  </w:footnote>
  <w:footnote w:id="6">
    <w:p w14:paraId="728C1E56" w14:textId="77777777" w:rsidR="007F402B" w:rsidRPr="004616F8" w:rsidRDefault="007F402B" w:rsidP="00F606DA">
      <w:pPr>
        <w:pStyle w:val="Tekstprzypisudolnego"/>
        <w:spacing w:line="240" w:lineRule="auto"/>
        <w:ind w:left="284" w:hanging="284"/>
        <w:jc w:val="both"/>
        <w:rPr>
          <w:rFonts w:ascii="Times New Roman" w:hAnsi="Times New Roman"/>
          <w:sz w:val="20"/>
          <w:szCs w:val="20"/>
        </w:rPr>
      </w:pPr>
      <w:r w:rsidRPr="00552726">
        <w:rPr>
          <w:rStyle w:val="Odwoanieprzypisudolnego"/>
          <w:rFonts w:ascii="Times New Roman" w:hAnsi="Times New Roman"/>
          <w:sz w:val="20"/>
          <w:szCs w:val="20"/>
        </w:rPr>
        <w:t>6)</w:t>
      </w:r>
      <w:r w:rsidRPr="004616F8">
        <w:rPr>
          <w:rFonts w:ascii="Times New Roman" w:hAnsi="Times New Roman"/>
          <w:sz w:val="20"/>
          <w:szCs w:val="20"/>
        </w:rPr>
        <w:t xml:space="preserve"> </w:t>
      </w:r>
      <w:r>
        <w:rPr>
          <w:rFonts w:ascii="Times New Roman" w:hAnsi="Times New Roman"/>
          <w:sz w:val="20"/>
          <w:szCs w:val="20"/>
        </w:rPr>
        <w:tab/>
        <w:t>Zmiany wymienionego rozporządzenia zostały ogłoszone w Dz. Urz. UE L 112 z 24.04.2012, str. 21 oraz Dz. Urz. UE L 295 z 11.10.2014, str. 85.</w:t>
      </w:r>
    </w:p>
  </w:footnote>
  <w:footnote w:id="7">
    <w:p w14:paraId="0474B990" w14:textId="77777777" w:rsidR="007F402B" w:rsidRPr="00EF36D2" w:rsidRDefault="007F402B" w:rsidP="00EF36D2">
      <w:pPr>
        <w:pStyle w:val="Tekstprzypisudolnego"/>
        <w:spacing w:line="240" w:lineRule="auto"/>
        <w:ind w:left="284" w:hanging="284"/>
        <w:jc w:val="both"/>
        <w:rPr>
          <w:rFonts w:ascii="Times New Roman" w:hAnsi="Times New Roman"/>
          <w:sz w:val="20"/>
          <w:szCs w:val="20"/>
        </w:rPr>
      </w:pPr>
      <w:r w:rsidRPr="00EF36D2">
        <w:rPr>
          <w:rStyle w:val="Odwoanieprzypisudolnego"/>
          <w:rFonts w:ascii="Times New Roman" w:hAnsi="Times New Roman"/>
          <w:sz w:val="20"/>
          <w:szCs w:val="20"/>
        </w:rPr>
        <w:footnoteRef/>
      </w:r>
      <w:r w:rsidRPr="00EF36D2">
        <w:rPr>
          <w:rStyle w:val="Odwoanieprzypisudolnego"/>
          <w:rFonts w:ascii="Times New Roman" w:hAnsi="Times New Roman"/>
          <w:sz w:val="20"/>
          <w:szCs w:val="20"/>
        </w:rPr>
        <w:t>)</w:t>
      </w:r>
      <w:r w:rsidRPr="00EF36D2">
        <w:rPr>
          <w:rFonts w:ascii="Times New Roman" w:hAnsi="Times New Roman"/>
          <w:sz w:val="20"/>
          <w:szCs w:val="20"/>
        </w:rPr>
        <w:t xml:space="preserve"> </w:t>
      </w:r>
      <w:r>
        <w:rPr>
          <w:rFonts w:ascii="Times New Roman" w:hAnsi="Times New Roman"/>
          <w:sz w:val="20"/>
          <w:szCs w:val="20"/>
        </w:rPr>
        <w:tab/>
      </w:r>
      <w:r w:rsidRPr="00EF36D2">
        <w:rPr>
          <w:rFonts w:ascii="Times New Roman" w:hAnsi="Times New Roman"/>
          <w:sz w:val="20"/>
          <w:szCs w:val="20"/>
        </w:rPr>
        <w:t xml:space="preserve">Zmiany wymienionej dyrektywy zostały ogłoszone w Dz. Urz. UE L </w:t>
      </w:r>
      <w:r>
        <w:rPr>
          <w:rFonts w:ascii="Times New Roman" w:hAnsi="Times New Roman"/>
          <w:sz w:val="20"/>
          <w:szCs w:val="20"/>
        </w:rPr>
        <w:t>307</w:t>
      </w:r>
      <w:r w:rsidRPr="00EF36D2">
        <w:rPr>
          <w:rFonts w:ascii="Times New Roman" w:hAnsi="Times New Roman"/>
          <w:sz w:val="20"/>
          <w:szCs w:val="20"/>
        </w:rPr>
        <w:t xml:space="preserve"> z </w:t>
      </w:r>
      <w:r>
        <w:rPr>
          <w:rFonts w:ascii="Times New Roman" w:hAnsi="Times New Roman"/>
          <w:sz w:val="20"/>
          <w:szCs w:val="20"/>
        </w:rPr>
        <w:t>25.11.2015</w:t>
      </w:r>
      <w:r w:rsidRPr="00EF36D2">
        <w:rPr>
          <w:rFonts w:ascii="Times New Roman" w:hAnsi="Times New Roman"/>
          <w:sz w:val="20"/>
          <w:szCs w:val="20"/>
        </w:rPr>
        <w:t xml:space="preserve">, str. </w:t>
      </w:r>
      <w:r>
        <w:rPr>
          <w:rFonts w:ascii="Times New Roman" w:hAnsi="Times New Roman"/>
          <w:sz w:val="20"/>
          <w:szCs w:val="20"/>
        </w:rPr>
        <w:t xml:space="preserve">7, Dz. Urz. UE L 337 z 19.12.2017, str. 17 oraz Dz. Urz. UE L 279 z 31.10.2019, str. 27. </w:t>
      </w:r>
    </w:p>
  </w:footnote>
  <w:footnote w:id="8">
    <w:p w14:paraId="0CFF8795" w14:textId="77777777" w:rsidR="007F402B" w:rsidRDefault="007F402B" w:rsidP="009861F0">
      <w:pPr>
        <w:pStyle w:val="ODNONIKtreodnonika"/>
      </w:pPr>
      <w:r w:rsidRPr="009861F0">
        <w:rPr>
          <w:rStyle w:val="IGindeksgrny"/>
        </w:rPr>
        <w:footnoteRef/>
      </w:r>
      <w:r w:rsidRPr="009861F0">
        <w:rPr>
          <w:rStyle w:val="IGindeksgrny"/>
        </w:rPr>
        <w:t>)</w:t>
      </w:r>
      <w:r w:rsidRPr="001A2424">
        <w:t xml:space="preserve"> </w:t>
      </w:r>
      <w:r>
        <w:tab/>
      </w:r>
      <w:r w:rsidRPr="001A2424">
        <w:t>Zmiana wymienionego rozporządzenia została ogłoszona w Dz. Urz. UE L 127 z 23.05.2018, str. 2</w:t>
      </w:r>
      <w:r>
        <w:t>.</w:t>
      </w:r>
    </w:p>
  </w:footnote>
  <w:footnote w:id="9">
    <w:p w14:paraId="4201106F" w14:textId="45FFBC18" w:rsidR="007F402B" w:rsidRPr="0082058E" w:rsidRDefault="007F402B" w:rsidP="0039085A">
      <w:pPr>
        <w:pStyle w:val="ODNONIKtreodnonika"/>
      </w:pPr>
      <w:r w:rsidRPr="006A491B">
        <w:rPr>
          <w:rStyle w:val="Odwoanieprzypisudolnego"/>
        </w:rPr>
        <w:footnoteRef/>
      </w:r>
      <w:r w:rsidRPr="006A491B">
        <w:rPr>
          <w:rFonts w:eastAsia="Times New Roman"/>
          <w:vertAlign w:val="superscript"/>
        </w:rPr>
        <w:t>)</w:t>
      </w:r>
      <w:r>
        <w:rPr>
          <w:rFonts w:eastAsia="Times New Roman"/>
          <w:vertAlign w:val="superscript"/>
        </w:rPr>
        <w:tab/>
      </w:r>
      <w:r w:rsidRPr="006A491B">
        <w:t>(</w:t>
      </w:r>
      <w:r w:rsidRPr="0082058E">
        <w:t>Dz. Urz. UE L 172 z dnia 26.06.2019, s</w:t>
      </w:r>
      <w:r>
        <w:t>tr.</w:t>
      </w:r>
      <w:r w:rsidRPr="0082058E">
        <w:t xml:space="preserve"> 56), zwana dalej</w:t>
      </w:r>
      <w:r>
        <w:t xml:space="preserve"> jako</w:t>
      </w:r>
      <w:r w:rsidRPr="0082058E">
        <w:t>: „dyrektyw</w:t>
      </w:r>
      <w:r>
        <w:t>a</w:t>
      </w:r>
      <w:r w:rsidRPr="0082058E">
        <w:t xml:space="preserve"> 2019/1024/UE” lub „dyrektyw</w:t>
      </w:r>
      <w:r>
        <w:t>a</w:t>
      </w:r>
      <w:r w:rsidRPr="0082058E">
        <w:t>”.</w:t>
      </w:r>
    </w:p>
  </w:footnote>
  <w:footnote w:id="10">
    <w:p w14:paraId="3DE039BB" w14:textId="5DA9FFA1" w:rsidR="007F402B" w:rsidRPr="006A491B" w:rsidRDefault="007F402B" w:rsidP="0039085A">
      <w:pPr>
        <w:pStyle w:val="ODNONIKtreodnonika"/>
      </w:pPr>
      <w:r w:rsidRPr="006A491B">
        <w:rPr>
          <w:rStyle w:val="Odwoanieprzypisudolnego"/>
        </w:rPr>
        <w:footnoteRef/>
      </w:r>
      <w:r w:rsidRPr="006A491B">
        <w:rPr>
          <w:rFonts w:eastAsia="Times New Roman"/>
          <w:vertAlign w:val="superscript"/>
        </w:rPr>
        <w:t>)</w:t>
      </w:r>
      <w:r>
        <w:rPr>
          <w:rFonts w:eastAsia="Times New Roman"/>
          <w:vertAlign w:val="superscript"/>
        </w:rPr>
        <w:tab/>
      </w:r>
      <w:r w:rsidRPr="006A491B">
        <w:t>(</w:t>
      </w:r>
      <w:r w:rsidRPr="0082058E">
        <w:t>Dz. U. z 2019 r. poz. 1446)</w:t>
      </w:r>
      <w:r>
        <w:t>,</w:t>
      </w:r>
      <w:r w:rsidRPr="003C4C7E">
        <w:t xml:space="preserve"> zwana dalej</w:t>
      </w:r>
      <w:r>
        <w:t xml:space="preserve"> jako</w:t>
      </w:r>
      <w:r w:rsidRPr="003C4C7E">
        <w:t>: „ustaw</w:t>
      </w:r>
      <w:r>
        <w:t>a</w:t>
      </w:r>
      <w:r w:rsidRPr="003C4C7E">
        <w:t xml:space="preserve"> o ponownym wykorzystywaniu informacji sektora publicznego” lub „ustaw</w:t>
      </w:r>
      <w:r>
        <w:t>a</w:t>
      </w:r>
      <w:r w:rsidRPr="003C4C7E">
        <w:t xml:space="preserve"> z 2016 r.”</w:t>
      </w:r>
      <w:r w:rsidRPr="0082058E">
        <w:t>.</w:t>
      </w:r>
    </w:p>
  </w:footnote>
  <w:footnote w:id="11">
    <w:p w14:paraId="5E1398BE" w14:textId="4A609382" w:rsidR="007F402B" w:rsidRDefault="007F402B" w:rsidP="0039085A">
      <w:pPr>
        <w:pStyle w:val="ODNONIKtreodnonika"/>
      </w:pPr>
      <w:r w:rsidRPr="0082058E">
        <w:rPr>
          <w:rStyle w:val="Odwoanieprzypisudolnego"/>
        </w:rPr>
        <w:footnoteRef/>
      </w:r>
      <w:r w:rsidRPr="006A491B">
        <w:rPr>
          <w:rFonts w:eastAsia="Times New Roman"/>
          <w:vertAlign w:val="superscript"/>
        </w:rPr>
        <w:t>)</w:t>
      </w:r>
      <w:r>
        <w:rPr>
          <w:rFonts w:eastAsia="Times New Roman"/>
          <w:vertAlign w:val="superscript"/>
        </w:rPr>
        <w:tab/>
      </w:r>
      <w:r w:rsidRPr="0082058E">
        <w:t>(Dz. U. z 20</w:t>
      </w:r>
      <w:r>
        <w:t>20</w:t>
      </w:r>
      <w:r w:rsidRPr="0082058E">
        <w:t xml:space="preserve"> r. poz. </w:t>
      </w:r>
      <w:r>
        <w:t>2176</w:t>
      </w:r>
      <w:r w:rsidRPr="0082058E">
        <w:t>), zwana dalej</w:t>
      </w:r>
      <w:r>
        <w:t xml:space="preserve"> jako</w:t>
      </w:r>
      <w:r w:rsidRPr="0082058E">
        <w:t>: „ustaw</w:t>
      </w:r>
      <w:r>
        <w:t>a</w:t>
      </w:r>
      <w:r w:rsidRPr="0082058E">
        <w:t xml:space="preserve"> o dostępie do informacji publicznej”.</w:t>
      </w:r>
    </w:p>
  </w:footnote>
  <w:footnote w:id="12">
    <w:p w14:paraId="30D79AC0" w14:textId="77777777" w:rsidR="007F402B" w:rsidRPr="00E40AC1" w:rsidRDefault="007F402B" w:rsidP="00884F50">
      <w:pPr>
        <w:pStyle w:val="Tekstprzypisudolnego"/>
        <w:spacing w:line="240" w:lineRule="auto"/>
        <w:jc w:val="both"/>
        <w:rPr>
          <w:rFonts w:ascii="Times New Roman" w:hAnsi="Times New Roman"/>
        </w:rPr>
      </w:pPr>
      <w:r w:rsidRPr="00884F50">
        <w:rPr>
          <w:rStyle w:val="Odwoanieprzypisudolnego"/>
          <w:rFonts w:ascii="Times New Roman" w:hAnsi="Times New Roman"/>
          <w:sz w:val="20"/>
          <w:szCs w:val="20"/>
        </w:rPr>
        <w:footnoteRef/>
      </w:r>
      <w:r w:rsidRPr="00884F50">
        <w:rPr>
          <w:rFonts w:ascii="Times New Roman" w:hAnsi="Times New Roman"/>
          <w:sz w:val="20"/>
          <w:szCs w:val="20"/>
          <w:vertAlign w:val="superscript"/>
        </w:rPr>
        <w:t>)</w:t>
      </w:r>
      <w:r>
        <w:rPr>
          <w:rFonts w:ascii="Times New Roman" w:hAnsi="Times New Roman"/>
          <w:sz w:val="20"/>
          <w:szCs w:val="20"/>
          <w:vertAlign w:val="superscript"/>
        </w:rPr>
        <w:t xml:space="preserve">    </w:t>
      </w:r>
      <w:r w:rsidRPr="00884F50">
        <w:rPr>
          <w:rFonts w:ascii="Times New Roman" w:hAnsi="Times New Roman"/>
          <w:sz w:val="20"/>
          <w:szCs w:val="20"/>
        </w:rPr>
        <w:t>Konstytucja Rzeczypospolitej Polskiej z dnia 2 kwietnia 1997 r. (Dz. U. Nr 78, poz. 483, z późn. zm.).</w:t>
      </w:r>
    </w:p>
  </w:footnote>
  <w:footnote w:id="13">
    <w:p w14:paraId="5A58768A" w14:textId="77777777" w:rsidR="007F402B" w:rsidRPr="00E40AC1" w:rsidRDefault="007F402B" w:rsidP="0082058E">
      <w:pPr>
        <w:pStyle w:val="ODNONIKtreodnonika"/>
      </w:pPr>
      <w:r w:rsidRPr="00E40AC1">
        <w:rPr>
          <w:rStyle w:val="Odwoanieprzypisudolnego"/>
        </w:rPr>
        <w:footnoteRef/>
      </w:r>
      <w:r w:rsidRPr="00E40AC1">
        <w:rPr>
          <w:vertAlign w:val="superscript"/>
        </w:rPr>
        <w:t xml:space="preserve">) </w:t>
      </w:r>
      <w:r>
        <w:rPr>
          <w:vertAlign w:val="superscript"/>
        </w:rPr>
        <w:tab/>
      </w:r>
      <w:r w:rsidRPr="00E40AC1">
        <w:t>Wniosek Dyrektywa Parlamentu Europejskiego i Rady w sprawie ponownego wykorzystywania informacji sektora publicznego (wersja przekształcona), 25.04.2018 r., COM/2018/234 final.</w:t>
      </w:r>
    </w:p>
  </w:footnote>
  <w:footnote w:id="14">
    <w:p w14:paraId="0EC86E38" w14:textId="3221CCAF" w:rsidR="007F402B" w:rsidRPr="00E40AC1" w:rsidRDefault="007F402B" w:rsidP="0082058E">
      <w:pPr>
        <w:pStyle w:val="ODNONIKtreodnonika"/>
      </w:pPr>
      <w:r w:rsidRPr="00E40AC1">
        <w:rPr>
          <w:rStyle w:val="Odwoanieprzypisudolnego"/>
        </w:rPr>
        <w:footnoteRef/>
      </w:r>
      <w:r w:rsidRPr="00582A4C">
        <w:rPr>
          <w:vertAlign w:val="superscript"/>
        </w:rPr>
        <w:t>)</w:t>
      </w:r>
      <w:r>
        <w:tab/>
      </w:r>
      <w:r w:rsidRPr="00E40AC1">
        <w:t>(Dz. Urz. UE L 345 z dnia 31.12.2003, s</w:t>
      </w:r>
      <w:r>
        <w:t>tr</w:t>
      </w:r>
      <w:r w:rsidRPr="00E40AC1">
        <w:t>. 90), zwana dalej</w:t>
      </w:r>
      <w:r>
        <w:t xml:space="preserve"> jako</w:t>
      </w:r>
      <w:r w:rsidRPr="00E40AC1">
        <w:t>: „dyrektyw</w:t>
      </w:r>
      <w:r>
        <w:t>a</w:t>
      </w:r>
      <w:r w:rsidRPr="00E40AC1">
        <w:t xml:space="preserve"> 2003/98/WE”.</w:t>
      </w:r>
    </w:p>
  </w:footnote>
  <w:footnote w:id="15">
    <w:p w14:paraId="3A3904E7" w14:textId="77777777" w:rsidR="007F402B" w:rsidRPr="00E40AC1" w:rsidRDefault="007F402B" w:rsidP="0082058E">
      <w:pPr>
        <w:pStyle w:val="ODNONIKtreodnonika"/>
      </w:pPr>
      <w:r w:rsidRPr="00E40AC1">
        <w:rPr>
          <w:rStyle w:val="Odwoanieprzypisudolnego"/>
        </w:rPr>
        <w:footnoteRef/>
      </w:r>
      <w:r w:rsidRPr="00582A4C">
        <w:rPr>
          <w:vertAlign w:val="superscript"/>
        </w:rPr>
        <w:t>)</w:t>
      </w:r>
      <w:r>
        <w:tab/>
      </w:r>
      <w:r w:rsidRPr="00E40AC1">
        <w:t>W dyrektywach regulujących ponowne wykorzystywanie informacji sektora publicznego prawodawca unijny posługuje się pojęciem „dokument”, którego odpowiednikiem w prawie polskim jest „informacja sektora publicznego”.</w:t>
      </w:r>
    </w:p>
  </w:footnote>
  <w:footnote w:id="16">
    <w:p w14:paraId="387DF25A" w14:textId="55B62D3D" w:rsidR="007F402B" w:rsidRDefault="007F402B" w:rsidP="0082058E">
      <w:pPr>
        <w:pStyle w:val="ODNONIKtreodnonika"/>
      </w:pPr>
      <w:r w:rsidRPr="00E40AC1">
        <w:rPr>
          <w:rStyle w:val="Odwoanieprzypisudolnego"/>
        </w:rPr>
        <w:footnoteRef/>
      </w:r>
      <w:r w:rsidRPr="00582A4C">
        <w:rPr>
          <w:vertAlign w:val="superscript"/>
        </w:rPr>
        <w:t>)</w:t>
      </w:r>
      <w:r>
        <w:tab/>
      </w:r>
      <w:r w:rsidRPr="00E40AC1">
        <w:t>(Dz. Urz. UE L 175 z dnia 27.06.2013, s</w:t>
      </w:r>
      <w:r>
        <w:t>tr.</w:t>
      </w:r>
      <w:r w:rsidRPr="00E40AC1">
        <w:t xml:space="preserve"> 1).</w:t>
      </w:r>
    </w:p>
  </w:footnote>
  <w:footnote w:id="17">
    <w:p w14:paraId="52C737C4" w14:textId="77777777" w:rsidR="007F402B" w:rsidRPr="00A02B77" w:rsidRDefault="007F402B" w:rsidP="00602BD2">
      <w:pPr>
        <w:pStyle w:val="ODNONIKtreodnonika"/>
      </w:pPr>
      <w:r w:rsidRPr="00A02B77">
        <w:rPr>
          <w:rStyle w:val="Odwoanieprzypisudolnego"/>
        </w:rPr>
        <w:footnoteRef/>
      </w:r>
      <w:r w:rsidRPr="00582A4C">
        <w:rPr>
          <w:vertAlign w:val="superscript"/>
        </w:rPr>
        <w:t>)</w:t>
      </w:r>
      <w:r>
        <w:tab/>
      </w:r>
      <w:r w:rsidRPr="00A02B77">
        <w:t>Motyw 10 preambuły dyrektywy 2003/98/WE.</w:t>
      </w:r>
    </w:p>
  </w:footnote>
  <w:footnote w:id="18">
    <w:p w14:paraId="3FB34893" w14:textId="77777777" w:rsidR="007F402B" w:rsidRPr="00A02B77" w:rsidRDefault="007F402B" w:rsidP="00602BD2">
      <w:pPr>
        <w:pStyle w:val="ODNONIKtreodnonika"/>
      </w:pPr>
      <w:r w:rsidRPr="00A02B77">
        <w:rPr>
          <w:rStyle w:val="Odwoanieprzypisudolnego"/>
        </w:rPr>
        <w:footnoteRef/>
      </w:r>
      <w:r w:rsidRPr="00F6598B">
        <w:rPr>
          <w:vertAlign w:val="superscript"/>
        </w:rPr>
        <w:t xml:space="preserve">) </w:t>
      </w:r>
      <w:r>
        <w:rPr>
          <w:vertAlign w:val="superscript"/>
        </w:rPr>
        <w:tab/>
      </w:r>
      <w:r w:rsidRPr="00A02B77">
        <w:t>Program Otwierania Danych Publicznych przyjęty uchwałą Nr 107/2016 Rady Ministrów z dnia 20 września 2016 r.</w:t>
      </w:r>
    </w:p>
  </w:footnote>
  <w:footnote w:id="19">
    <w:p w14:paraId="5BF3F83B" w14:textId="48F26AEE" w:rsidR="007F402B" w:rsidRPr="00A02B77" w:rsidRDefault="007F402B" w:rsidP="00602BD2">
      <w:pPr>
        <w:pStyle w:val="ODNONIKtreodnonika"/>
      </w:pPr>
      <w:r w:rsidRPr="00A02B77">
        <w:rPr>
          <w:rStyle w:val="Odwoanieprzypisudolnego"/>
        </w:rPr>
        <w:footnoteRef/>
      </w:r>
      <w:r w:rsidRPr="00F6598B">
        <w:rPr>
          <w:vertAlign w:val="superscript"/>
        </w:rPr>
        <w:t>)</w:t>
      </w:r>
      <w:r>
        <w:rPr>
          <w:vertAlign w:val="superscript"/>
        </w:rPr>
        <w:t xml:space="preserve"> </w:t>
      </w:r>
      <w:r>
        <w:rPr>
          <w:vertAlign w:val="superscript"/>
        </w:rPr>
        <w:tab/>
      </w:r>
      <w:r w:rsidRPr="00A02B77">
        <w:t xml:space="preserve">Zgodnie z art. 2 </w:t>
      </w:r>
      <w:r>
        <w:t>pkt</w:t>
      </w:r>
      <w:r w:rsidRPr="00A02B77">
        <w:t xml:space="preserve"> </w:t>
      </w:r>
      <w:r>
        <w:t>8</w:t>
      </w:r>
      <w:r w:rsidRPr="00A02B77">
        <w:t xml:space="preserve"> </w:t>
      </w:r>
      <w:r>
        <w:t>ustawy z 2016 r</w:t>
      </w:r>
      <w:r w:rsidRPr="00A02B77">
        <w:t>. przez informację sektora publicznego należy rozumieć każdą treść lub jej część, niezależnie od sposobu utrwalenia, w szczególności w postaci papierowej, elektronicznej, dźwiękowej, wizualnej lub audiowizualnej, będącą w posiadaniu podmiotów, o których mowa w art. 3 ustawy.</w:t>
      </w:r>
    </w:p>
  </w:footnote>
  <w:footnote w:id="20">
    <w:p w14:paraId="3986DE8E" w14:textId="77777777" w:rsidR="007F402B" w:rsidRDefault="007F402B" w:rsidP="00602BD2">
      <w:pPr>
        <w:pStyle w:val="ODNONIKtreodnonika"/>
      </w:pPr>
      <w:r w:rsidRPr="00A02B77">
        <w:rPr>
          <w:rStyle w:val="Odwoanieprzypisudolnego"/>
        </w:rPr>
        <w:footnoteRef/>
      </w:r>
      <w:r w:rsidRPr="00F6598B">
        <w:rPr>
          <w:vertAlign w:val="superscript"/>
        </w:rPr>
        <w:t>)</w:t>
      </w:r>
      <w:r>
        <w:rPr>
          <w:vertAlign w:val="superscript"/>
        </w:rPr>
        <w:tab/>
      </w:r>
      <w:r w:rsidRPr="00A02B77">
        <w:t>Art. 2 ust. 2 ustawy z 2016 r.</w:t>
      </w:r>
    </w:p>
  </w:footnote>
  <w:footnote w:id="21">
    <w:p w14:paraId="29794D3E" w14:textId="7A75DEC7" w:rsidR="007F402B" w:rsidRPr="001839B2" w:rsidRDefault="007F402B">
      <w:pPr>
        <w:pStyle w:val="Tekstprzypisudolnego"/>
        <w:rPr>
          <w:rFonts w:ascii="Times New Roman" w:hAnsi="Times New Roman"/>
          <w:sz w:val="20"/>
          <w:szCs w:val="20"/>
        </w:rPr>
      </w:pPr>
      <w:r w:rsidRPr="001839B2">
        <w:rPr>
          <w:rStyle w:val="Odwoanieprzypisudolnego"/>
          <w:rFonts w:ascii="Times New Roman" w:hAnsi="Times New Roman"/>
          <w:sz w:val="20"/>
          <w:szCs w:val="20"/>
        </w:rPr>
        <w:footnoteRef/>
      </w:r>
      <w:r>
        <w:rPr>
          <w:rFonts w:ascii="Times New Roman" w:hAnsi="Times New Roman"/>
          <w:sz w:val="20"/>
          <w:szCs w:val="20"/>
          <w:vertAlign w:val="superscript"/>
        </w:rPr>
        <w:t>)</w:t>
      </w:r>
      <w:r w:rsidRPr="001839B2">
        <w:rPr>
          <w:rFonts w:ascii="Times New Roman" w:hAnsi="Times New Roman"/>
          <w:sz w:val="20"/>
          <w:szCs w:val="20"/>
        </w:rPr>
        <w:t xml:space="preserve"> </w:t>
      </w:r>
      <w:hyperlink r:id="rId1" w:history="1">
        <w:r w:rsidRPr="00B121FB">
          <w:rPr>
            <w:rStyle w:val="Hipercze"/>
            <w:rFonts w:ascii="Times New Roman" w:hAnsi="Times New Roman"/>
            <w:sz w:val="20"/>
            <w:szCs w:val="20"/>
          </w:rPr>
          <w:t>https://dane.gov.pl/pl/knowledgebase/useful-materials/standardy-otwartosci-danych</w:t>
        </w:r>
      </w:hyperlink>
      <w:r>
        <w:rPr>
          <w:rFonts w:ascii="Times New Roman" w:hAnsi="Times New Roman"/>
          <w:sz w:val="20"/>
          <w:szCs w:val="20"/>
        </w:rPr>
        <w:t xml:space="preserve"> </w:t>
      </w:r>
    </w:p>
  </w:footnote>
  <w:footnote w:id="22">
    <w:p w14:paraId="737D9B5F" w14:textId="2BC15BFD" w:rsidR="007F402B" w:rsidRPr="00E81962" w:rsidRDefault="007F402B">
      <w:pPr>
        <w:pStyle w:val="Tekstprzypisudolnego"/>
        <w:rPr>
          <w:lang w:val="en-GB"/>
        </w:rPr>
      </w:pPr>
      <w:r w:rsidRPr="001839B2">
        <w:rPr>
          <w:rStyle w:val="Odwoanieprzypisudolnego"/>
          <w:rFonts w:ascii="Times New Roman" w:hAnsi="Times New Roman"/>
          <w:sz w:val="20"/>
          <w:szCs w:val="20"/>
        </w:rPr>
        <w:footnoteRef/>
      </w:r>
      <w:r>
        <w:rPr>
          <w:rFonts w:ascii="Times New Roman" w:hAnsi="Times New Roman"/>
          <w:sz w:val="20"/>
          <w:szCs w:val="20"/>
          <w:vertAlign w:val="superscript"/>
          <w:lang w:val="en-GB"/>
        </w:rPr>
        <w:t>)</w:t>
      </w:r>
      <w:r w:rsidRPr="001839B2">
        <w:rPr>
          <w:rFonts w:ascii="Times New Roman" w:hAnsi="Times New Roman"/>
          <w:sz w:val="20"/>
          <w:szCs w:val="20"/>
          <w:lang w:val="en-GB"/>
        </w:rPr>
        <w:t xml:space="preserve"> </w:t>
      </w:r>
      <w:hyperlink r:id="rId2" w:history="1">
        <w:r w:rsidRPr="001839B2">
          <w:rPr>
            <w:rStyle w:val="Hipercze"/>
            <w:rFonts w:ascii="Times New Roman" w:hAnsi="Times New Roman"/>
            <w:sz w:val="20"/>
            <w:szCs w:val="20"/>
            <w:lang w:val="en-GB"/>
          </w:rPr>
          <w:t>https://ec.europa.eu/justice/article-29/documentation/opinion recommendation/index_en.htm</w:t>
        </w:r>
      </w:hyperlink>
      <w:r w:rsidRPr="00E81962">
        <w:rPr>
          <w:lang w:val="en-GB"/>
        </w:rPr>
        <w:t xml:space="preserve"> </w:t>
      </w:r>
    </w:p>
  </w:footnote>
  <w:footnote w:id="23">
    <w:p w14:paraId="0614AF60" w14:textId="57A71C7C" w:rsidR="007F402B" w:rsidRPr="00BE3AFF" w:rsidRDefault="007F402B" w:rsidP="00602BD2">
      <w:pPr>
        <w:pStyle w:val="ODNONIKtreodnonika"/>
      </w:pPr>
      <w:r w:rsidRPr="00BE3AFF">
        <w:rPr>
          <w:rStyle w:val="Odwoanieprzypisudolnego"/>
        </w:rPr>
        <w:footnoteRef/>
      </w:r>
      <w:r w:rsidRPr="00F6598B">
        <w:rPr>
          <w:vertAlign w:val="superscript"/>
        </w:rPr>
        <w:t>)</w:t>
      </w:r>
      <w:r>
        <w:rPr>
          <w:vertAlign w:val="superscript"/>
        </w:rPr>
        <w:tab/>
      </w:r>
      <w:r w:rsidRPr="00BE3AFF">
        <w:t xml:space="preserve">A. Piskorz-Ryń (praca zbiorowa), Ponowne wykorzystywanie informacji sektora publicznego, Ministerstwo Cyfryzacji, Warszawa 2016, s. 40, </w:t>
      </w:r>
      <w:hyperlink r:id="rId3" w:history="1">
        <w:r w:rsidRPr="002313D8">
          <w:rPr>
            <w:rStyle w:val="Hipercze"/>
          </w:rPr>
          <w:t>https://www.gov.pl/web/cyfryzacja/udostepniamy-podrecznik-ponowne-wykorzystywanie-informacji-sektora-publicznego</w:t>
        </w:r>
      </w:hyperlink>
      <w:r w:rsidRPr="00BE3AFF">
        <w:t xml:space="preserve"> (dostęp 03.04.2020 r.).</w:t>
      </w:r>
    </w:p>
  </w:footnote>
  <w:footnote w:id="24">
    <w:p w14:paraId="6298BBC8" w14:textId="43B72E7B" w:rsidR="007F402B" w:rsidRPr="00A02B77" w:rsidRDefault="007F402B" w:rsidP="00602BD2">
      <w:pPr>
        <w:pStyle w:val="ODNONIKtreodnonika"/>
      </w:pPr>
      <w:r w:rsidRPr="00A02B77">
        <w:rPr>
          <w:rStyle w:val="Odwoanieprzypisudolnego"/>
        </w:rPr>
        <w:footnoteRef/>
      </w:r>
      <w:r w:rsidRPr="003D645B">
        <w:rPr>
          <w:vertAlign w:val="superscript"/>
        </w:rPr>
        <w:t>)</w:t>
      </w:r>
      <w:r w:rsidRPr="00A02B77">
        <w:t xml:space="preserve"> </w:t>
      </w:r>
      <w:r>
        <w:tab/>
      </w:r>
      <w:r w:rsidRPr="00A02B77">
        <w:t>(Dz. Urz. UE L 94 z 28.03.2014, s</w:t>
      </w:r>
      <w:r>
        <w:t>tr</w:t>
      </w:r>
      <w:r w:rsidRPr="00A02B77">
        <w:t>. 243</w:t>
      </w:r>
      <w:r>
        <w:t>, z późn. zm.</w:t>
      </w:r>
      <w:r w:rsidRPr="00A02B77">
        <w:t>)</w:t>
      </w:r>
      <w:r>
        <w:t xml:space="preserve">, zwana dalej jako: „dyrektywa </w:t>
      </w:r>
      <w:r w:rsidRPr="00117211">
        <w:rPr>
          <w:rFonts w:eastAsia="Times New Roman" w:cs="Times New Roman"/>
          <w:szCs w:val="24"/>
        </w:rPr>
        <w:t>2014/25/UE</w:t>
      </w:r>
      <w:r>
        <w:rPr>
          <w:rFonts w:eastAsia="Times New Roman" w:cs="Times New Roman"/>
          <w:szCs w:val="24"/>
        </w:rPr>
        <w:t>”</w:t>
      </w:r>
      <w:r w:rsidRPr="00A02B77">
        <w:t>.</w:t>
      </w:r>
    </w:p>
  </w:footnote>
  <w:footnote w:id="25">
    <w:p w14:paraId="1868D38E" w14:textId="77777777" w:rsidR="007F402B" w:rsidRPr="00A02B77" w:rsidRDefault="007F402B" w:rsidP="00602BD2">
      <w:pPr>
        <w:pStyle w:val="ODNONIKtreodnonika"/>
      </w:pPr>
      <w:r w:rsidRPr="00A02B77">
        <w:rPr>
          <w:rStyle w:val="Odwoanieprzypisudolnego"/>
        </w:rPr>
        <w:footnoteRef/>
      </w:r>
      <w:r w:rsidRPr="003D645B">
        <w:rPr>
          <w:vertAlign w:val="superscript"/>
        </w:rPr>
        <w:t>)</w:t>
      </w:r>
      <w:r w:rsidRPr="00A02B77">
        <w:t xml:space="preserve"> </w:t>
      </w:r>
      <w:r>
        <w:tab/>
      </w:r>
      <w:r w:rsidRPr="00A02B77">
        <w:t>(Dz. Urz. UE L 315 z 03.12.2007, s</w:t>
      </w:r>
      <w:r>
        <w:t>tr</w:t>
      </w:r>
      <w:r w:rsidRPr="00A02B77">
        <w:t>. 1</w:t>
      </w:r>
      <w:r>
        <w:t>, z późn. zm.</w:t>
      </w:r>
      <w:r w:rsidRPr="00A02B77">
        <w:t>).</w:t>
      </w:r>
    </w:p>
  </w:footnote>
  <w:footnote w:id="26">
    <w:p w14:paraId="0888B7A5" w14:textId="77777777" w:rsidR="007F402B" w:rsidRPr="00A02B77" w:rsidRDefault="007F402B" w:rsidP="00602BD2">
      <w:pPr>
        <w:pStyle w:val="ODNONIKtreodnonika"/>
      </w:pPr>
      <w:r w:rsidRPr="00A02B77">
        <w:rPr>
          <w:rStyle w:val="Odwoanieprzypisudolnego"/>
        </w:rPr>
        <w:footnoteRef/>
      </w:r>
      <w:r w:rsidRPr="003D645B">
        <w:rPr>
          <w:vertAlign w:val="superscript"/>
        </w:rPr>
        <w:t>)</w:t>
      </w:r>
      <w:r w:rsidRPr="00A02B77">
        <w:t xml:space="preserve"> </w:t>
      </w:r>
      <w:r>
        <w:tab/>
      </w:r>
      <w:r w:rsidRPr="00A02B77">
        <w:t>(Dz. Urz. UE L 293 z 31.10.2008, s</w:t>
      </w:r>
      <w:r>
        <w:t>tr</w:t>
      </w:r>
      <w:r w:rsidRPr="00A02B77">
        <w:t>. 3</w:t>
      </w:r>
      <w:r>
        <w:t>, z późn. zm.</w:t>
      </w:r>
      <w:r w:rsidRPr="00A02B77">
        <w:t>).</w:t>
      </w:r>
    </w:p>
  </w:footnote>
  <w:footnote w:id="27">
    <w:p w14:paraId="7FF9EC3C" w14:textId="77777777" w:rsidR="007F402B" w:rsidRPr="00A02B77" w:rsidRDefault="007F402B" w:rsidP="00602BD2">
      <w:pPr>
        <w:pStyle w:val="ODNONIKtreodnonika"/>
      </w:pPr>
      <w:r w:rsidRPr="00A02B77">
        <w:rPr>
          <w:rStyle w:val="Odwoanieprzypisudolnego"/>
        </w:rPr>
        <w:footnoteRef/>
      </w:r>
      <w:r w:rsidRPr="003D645B">
        <w:rPr>
          <w:vertAlign w:val="superscript"/>
        </w:rPr>
        <w:t>)</w:t>
      </w:r>
      <w:r w:rsidRPr="00A02B77">
        <w:t xml:space="preserve"> </w:t>
      </w:r>
      <w:r>
        <w:tab/>
      </w:r>
      <w:r w:rsidRPr="00A02B77">
        <w:t xml:space="preserve">(Dz. Urz. </w:t>
      </w:r>
      <w:r>
        <w:t>WE</w:t>
      </w:r>
      <w:r w:rsidRPr="00A02B77">
        <w:t xml:space="preserve"> L 364 z 12.12.1992, s</w:t>
      </w:r>
      <w:r>
        <w:t>tr</w:t>
      </w:r>
      <w:r w:rsidRPr="00A02B77">
        <w:t>. 7</w:t>
      </w:r>
      <w:r>
        <w:t xml:space="preserve">, z późn. zm.; </w:t>
      </w:r>
      <w:r w:rsidRPr="003E760C">
        <w:t>Dz. Urz. UE Polskie wydanie sp</w:t>
      </w:r>
      <w:r>
        <w:t>ecjalne rozdz. 6, t. 2, str. 10</w:t>
      </w:r>
      <w:r w:rsidRPr="00A02B77">
        <w:t>).</w:t>
      </w:r>
    </w:p>
  </w:footnote>
  <w:footnote w:id="28">
    <w:p w14:paraId="31E8BBF3" w14:textId="16FD0A46" w:rsidR="007F402B" w:rsidRDefault="007F402B" w:rsidP="00602BD2">
      <w:pPr>
        <w:pStyle w:val="ODNONIKtreodnonika"/>
      </w:pPr>
      <w:r w:rsidRPr="00A02B77">
        <w:rPr>
          <w:rStyle w:val="Odwoanieprzypisudolnego"/>
        </w:rPr>
        <w:footnoteRef/>
      </w:r>
      <w:r w:rsidRPr="003D645B">
        <w:rPr>
          <w:vertAlign w:val="superscript"/>
        </w:rPr>
        <w:t>)</w:t>
      </w:r>
      <w:r w:rsidRPr="00A02B77">
        <w:t xml:space="preserve"> </w:t>
      </w:r>
      <w:r>
        <w:tab/>
      </w:r>
      <w:r w:rsidRPr="00A02B77">
        <w:t>(Dz. U. z 2019 r. poz. 2019, z późn. zm.), zwana dalej</w:t>
      </w:r>
      <w:r>
        <w:t xml:space="preserve"> jako</w:t>
      </w:r>
      <w:r w:rsidRPr="00A02B77">
        <w:t>: „ustaw</w:t>
      </w:r>
      <w:r>
        <w:t>a</w:t>
      </w:r>
      <w:r w:rsidRPr="00A02B77">
        <w:t xml:space="preserve"> – Prawo zamówień publicznych</w:t>
      </w:r>
      <w:r>
        <w:t>”.</w:t>
      </w:r>
    </w:p>
  </w:footnote>
  <w:footnote w:id="29">
    <w:p w14:paraId="487F2062" w14:textId="77777777" w:rsidR="007F402B" w:rsidRPr="00A02B77" w:rsidRDefault="007F402B" w:rsidP="00602BD2">
      <w:pPr>
        <w:pStyle w:val="ODNONIKtreodnonika"/>
      </w:pPr>
      <w:r w:rsidRPr="00A02B77">
        <w:rPr>
          <w:rStyle w:val="Odwoanieprzypisudolnego"/>
        </w:rPr>
        <w:footnoteRef/>
      </w:r>
      <w:r w:rsidRPr="00F6598B">
        <w:rPr>
          <w:vertAlign w:val="superscript"/>
        </w:rPr>
        <w:t>)</w:t>
      </w:r>
      <w:r w:rsidRPr="00A02B77">
        <w:t xml:space="preserve"> </w:t>
      </w:r>
      <w:r>
        <w:tab/>
      </w:r>
      <w:r w:rsidRPr="00A02B77">
        <w:t>Prawa autorskie i prawa pokrewne w rozumieniu przepisów ustawy z dnia 4 lutego 1994 r. o prawie autorskim i prawach pokrewnych (Dz. U. z 2019 r. poz. 1231, z późn. zm.).</w:t>
      </w:r>
    </w:p>
  </w:footnote>
  <w:footnote w:id="30">
    <w:p w14:paraId="500A37E7" w14:textId="77777777" w:rsidR="007F402B" w:rsidRPr="00A02B77" w:rsidRDefault="007F402B" w:rsidP="00602BD2">
      <w:pPr>
        <w:pStyle w:val="ODNONIKtreodnonika"/>
      </w:pPr>
      <w:r w:rsidRPr="00A02B77">
        <w:rPr>
          <w:rStyle w:val="Odwoanieprzypisudolnego"/>
        </w:rPr>
        <w:footnoteRef/>
      </w:r>
      <w:r w:rsidRPr="00F6598B">
        <w:rPr>
          <w:vertAlign w:val="superscript"/>
        </w:rPr>
        <w:t>)</w:t>
      </w:r>
      <w:r w:rsidRPr="00A02B77">
        <w:t xml:space="preserve"> </w:t>
      </w:r>
      <w:r>
        <w:tab/>
      </w:r>
      <w:r w:rsidRPr="00A02B77">
        <w:t>Prawa do baz danych w rozumieniu przepisów ustawy z dnia 27 lipca 2001 r. o ochronie baz danych (Dz. U. z 2019 r. poz. 2134, z późn. zm.).</w:t>
      </w:r>
    </w:p>
  </w:footnote>
  <w:footnote w:id="31">
    <w:p w14:paraId="330F6CC4" w14:textId="77777777" w:rsidR="007F402B" w:rsidRPr="00A02B77" w:rsidRDefault="007F402B" w:rsidP="00602BD2">
      <w:pPr>
        <w:pStyle w:val="ODNONIKtreodnonika"/>
      </w:pPr>
      <w:r w:rsidRPr="00A02B77">
        <w:rPr>
          <w:rStyle w:val="Odwoanieprzypisudolnego"/>
        </w:rPr>
        <w:footnoteRef/>
      </w:r>
      <w:r w:rsidRPr="00F6598B">
        <w:rPr>
          <w:vertAlign w:val="superscript"/>
        </w:rPr>
        <w:t>)</w:t>
      </w:r>
      <w:r>
        <w:rPr>
          <w:vertAlign w:val="superscript"/>
        </w:rPr>
        <w:t xml:space="preserve"> </w:t>
      </w:r>
      <w:r>
        <w:rPr>
          <w:vertAlign w:val="superscript"/>
        </w:rPr>
        <w:tab/>
      </w:r>
      <w:r w:rsidRPr="00A02B77">
        <w:t>Prawa do odmian roślin w rozumieniu przepisów ustawy z dnia 26 czerwca 2003 r. o ochronie prawnej odmian roślin (Dz. U. z 2018 r. poz. 432, z późn. zm.).</w:t>
      </w:r>
    </w:p>
  </w:footnote>
  <w:footnote w:id="32">
    <w:p w14:paraId="476BC9F1" w14:textId="77777777" w:rsidR="007F402B" w:rsidRPr="00A02B77" w:rsidRDefault="007F402B" w:rsidP="00602BD2">
      <w:pPr>
        <w:pStyle w:val="ODNONIKtreodnonika"/>
      </w:pPr>
      <w:r w:rsidRPr="00A02B77">
        <w:rPr>
          <w:rStyle w:val="Odwoanieprzypisudolnego"/>
        </w:rPr>
        <w:footnoteRef/>
      </w:r>
      <w:r w:rsidRPr="005E762E">
        <w:rPr>
          <w:vertAlign w:val="superscript"/>
        </w:rPr>
        <w:t>)</w:t>
      </w:r>
      <w:r w:rsidRPr="00A02B77">
        <w:t xml:space="preserve"> </w:t>
      </w:r>
      <w:r>
        <w:tab/>
      </w:r>
      <w:r w:rsidRPr="00A02B77">
        <w:t xml:space="preserve">(Dz. Urz. UE L 345 z 23.12.2008, str. 75). </w:t>
      </w:r>
    </w:p>
  </w:footnote>
  <w:footnote w:id="33">
    <w:p w14:paraId="0D2EF93F" w14:textId="77777777" w:rsidR="007F402B" w:rsidRPr="00A02B77" w:rsidRDefault="007F402B" w:rsidP="00602BD2">
      <w:pPr>
        <w:pStyle w:val="ODNONIKtreodnonika"/>
      </w:pPr>
      <w:r w:rsidRPr="00A02B77">
        <w:rPr>
          <w:rStyle w:val="Odwoanieprzypisudolnego"/>
        </w:rPr>
        <w:footnoteRef/>
      </w:r>
      <w:r w:rsidRPr="005E762E">
        <w:rPr>
          <w:vertAlign w:val="superscript"/>
        </w:rPr>
        <w:t>)</w:t>
      </w:r>
      <w:r w:rsidRPr="00A02B77">
        <w:t xml:space="preserve">  (Dz. Urz. UE L 119 z 04.05.2016, str. 1, z późn. zm.).</w:t>
      </w:r>
    </w:p>
  </w:footnote>
  <w:footnote w:id="34">
    <w:p w14:paraId="5E1C9F6E" w14:textId="5E8680EC" w:rsidR="007F402B" w:rsidRPr="00A02B77" w:rsidRDefault="007F402B" w:rsidP="00602BD2">
      <w:pPr>
        <w:pStyle w:val="ODNONIKtreodnonika"/>
      </w:pPr>
      <w:r w:rsidRPr="00A02B77">
        <w:rPr>
          <w:rStyle w:val="Odwoanieprzypisudolnego"/>
        </w:rPr>
        <w:footnoteRef/>
      </w:r>
      <w:r w:rsidRPr="00C35203">
        <w:rPr>
          <w:vertAlign w:val="superscript"/>
        </w:rPr>
        <w:t>)</w:t>
      </w:r>
      <w:r w:rsidRPr="00A02B77">
        <w:t xml:space="preserve"> </w:t>
      </w:r>
      <w:r>
        <w:tab/>
      </w:r>
      <w:r w:rsidRPr="00A02B77">
        <w:t>(Dz. U. z 2020</w:t>
      </w:r>
      <w:r>
        <w:t xml:space="preserve"> </w:t>
      </w:r>
      <w:r w:rsidRPr="00A02B77">
        <w:t>r. poz. 346</w:t>
      </w:r>
      <w:r>
        <w:t>, z późn. zm.</w:t>
      </w:r>
      <w:r w:rsidRPr="00A02B77">
        <w:t>).</w:t>
      </w:r>
    </w:p>
  </w:footnote>
  <w:footnote w:id="35">
    <w:p w14:paraId="78BC5554" w14:textId="31382745" w:rsidR="007F402B" w:rsidRPr="003E737D" w:rsidRDefault="007F402B" w:rsidP="00391759">
      <w:pPr>
        <w:pStyle w:val="Tekstprzypisudolnego"/>
        <w:spacing w:line="240" w:lineRule="auto"/>
        <w:ind w:left="284" w:hanging="284"/>
        <w:jc w:val="both"/>
        <w:rPr>
          <w:rFonts w:ascii="Times New Roman" w:hAnsi="Times New Roman"/>
          <w:sz w:val="20"/>
          <w:szCs w:val="20"/>
          <w:lang w:val="en-GB"/>
        </w:rPr>
      </w:pPr>
      <w:r w:rsidRPr="003E737D">
        <w:rPr>
          <w:rStyle w:val="Odwoanieprzypisudolnego"/>
          <w:rFonts w:ascii="Times New Roman" w:hAnsi="Times New Roman"/>
          <w:sz w:val="20"/>
          <w:szCs w:val="20"/>
        </w:rPr>
        <w:footnoteRef/>
      </w:r>
      <w:r w:rsidRPr="003E737D">
        <w:rPr>
          <w:rFonts w:ascii="Times New Roman" w:hAnsi="Times New Roman"/>
          <w:sz w:val="20"/>
          <w:szCs w:val="20"/>
          <w:vertAlign w:val="superscript"/>
        </w:rPr>
        <w:t>)</w:t>
      </w:r>
      <w:r w:rsidRPr="003E737D">
        <w:rPr>
          <w:rFonts w:ascii="Times New Roman" w:hAnsi="Times New Roman"/>
          <w:sz w:val="20"/>
          <w:szCs w:val="20"/>
        </w:rPr>
        <w:t xml:space="preserve"> Obwieszczenie Komisji „Wytyczne sprawie zalecanych licencji standardowych, zbiorów danych i opłat za ponowne wykorzystanie dokumentów” 2014/C 240/01, Dz. Urz. </w:t>
      </w:r>
      <w:r w:rsidRPr="003E737D">
        <w:rPr>
          <w:rFonts w:ascii="Times New Roman" w:hAnsi="Times New Roman"/>
          <w:sz w:val="20"/>
          <w:szCs w:val="20"/>
          <w:lang w:val="en-GB"/>
        </w:rPr>
        <w:t xml:space="preserve">UE C 240 z 24.07.2014, str. 1; </w:t>
      </w:r>
      <w:hyperlink r:id="rId4" w:history="1">
        <w:r w:rsidRPr="003E737D">
          <w:rPr>
            <w:rStyle w:val="Hipercze"/>
            <w:rFonts w:ascii="Times New Roman" w:hAnsi="Times New Roman"/>
            <w:sz w:val="20"/>
            <w:szCs w:val="20"/>
            <w:lang w:val="en-GB"/>
          </w:rPr>
          <w:t>https://eur-lex.europa.eu/legal content/PL/TXT/?uri=CELEX%3A52014XC0724%2801%29</w:t>
        </w:r>
      </w:hyperlink>
      <w:r w:rsidRPr="003E737D">
        <w:rPr>
          <w:rFonts w:ascii="Times New Roman" w:hAnsi="Times New Roman"/>
          <w:sz w:val="20"/>
          <w:szCs w:val="20"/>
          <w:lang w:val="en-GB"/>
        </w:rPr>
        <w:t>.</w:t>
      </w:r>
    </w:p>
  </w:footnote>
  <w:footnote w:id="36">
    <w:p w14:paraId="57D1CF26" w14:textId="72B3666C" w:rsidR="007F402B" w:rsidRPr="007D659D" w:rsidRDefault="007F402B" w:rsidP="00391759">
      <w:pPr>
        <w:pStyle w:val="Tekstprzypisudolnego"/>
        <w:spacing w:line="240" w:lineRule="auto"/>
        <w:rPr>
          <w:rFonts w:ascii="Times New Roman" w:hAnsi="Times New Roman"/>
          <w:sz w:val="20"/>
          <w:szCs w:val="20"/>
          <w:lang w:val="en-GB"/>
        </w:rPr>
      </w:pPr>
      <w:r w:rsidRPr="003E737D">
        <w:rPr>
          <w:rStyle w:val="Odwoanieprzypisudolnego"/>
          <w:rFonts w:ascii="Times New Roman" w:hAnsi="Times New Roman"/>
          <w:sz w:val="20"/>
          <w:szCs w:val="20"/>
        </w:rPr>
        <w:footnoteRef/>
      </w:r>
      <w:r w:rsidRPr="007D659D">
        <w:rPr>
          <w:rFonts w:ascii="Times New Roman" w:hAnsi="Times New Roman"/>
          <w:sz w:val="20"/>
          <w:szCs w:val="20"/>
          <w:vertAlign w:val="superscript"/>
          <w:lang w:val="en-GB"/>
        </w:rPr>
        <w:t>)</w:t>
      </w:r>
      <w:r w:rsidRPr="007D659D">
        <w:rPr>
          <w:rFonts w:ascii="Times New Roman" w:hAnsi="Times New Roman"/>
          <w:sz w:val="20"/>
          <w:szCs w:val="20"/>
          <w:lang w:val="en-GB"/>
        </w:rPr>
        <w:t xml:space="preserve">  </w:t>
      </w:r>
      <w:hyperlink r:id="rId5" w:history="1">
        <w:r w:rsidRPr="007D659D">
          <w:rPr>
            <w:rStyle w:val="Hipercze"/>
            <w:rFonts w:ascii="Times New Roman" w:hAnsi="Times New Roman"/>
            <w:sz w:val="20"/>
            <w:szCs w:val="20"/>
            <w:lang w:val="en-GB"/>
          </w:rPr>
          <w:t>http://opendefinition.org/</w:t>
        </w:r>
      </w:hyperlink>
    </w:p>
  </w:footnote>
  <w:footnote w:id="37">
    <w:p w14:paraId="1409127C" w14:textId="2B6AD846" w:rsidR="007F402B" w:rsidRPr="007D659D" w:rsidRDefault="007F402B" w:rsidP="00391759">
      <w:pPr>
        <w:pStyle w:val="Tekstprzypisudolnego"/>
        <w:spacing w:line="240" w:lineRule="auto"/>
        <w:rPr>
          <w:rFonts w:ascii="Times New Roman" w:hAnsi="Times New Roman"/>
          <w:sz w:val="20"/>
          <w:szCs w:val="20"/>
          <w:lang w:val="en-GB"/>
        </w:rPr>
      </w:pPr>
      <w:r w:rsidRPr="00391759">
        <w:rPr>
          <w:rStyle w:val="Odwoanieprzypisudolnego"/>
          <w:rFonts w:ascii="Times New Roman" w:hAnsi="Times New Roman"/>
          <w:sz w:val="20"/>
          <w:szCs w:val="20"/>
        </w:rPr>
        <w:footnoteRef/>
      </w:r>
      <w:r w:rsidRPr="007D659D">
        <w:rPr>
          <w:rFonts w:ascii="Times New Roman" w:hAnsi="Times New Roman"/>
          <w:sz w:val="20"/>
          <w:szCs w:val="20"/>
          <w:vertAlign w:val="superscript"/>
          <w:lang w:val="en-GB"/>
        </w:rPr>
        <w:t xml:space="preserve">) </w:t>
      </w:r>
      <w:r w:rsidRPr="007D659D">
        <w:rPr>
          <w:rFonts w:ascii="Times New Roman" w:hAnsi="Times New Roman"/>
          <w:sz w:val="20"/>
          <w:szCs w:val="20"/>
          <w:lang w:val="en-GB"/>
        </w:rPr>
        <w:t xml:space="preserve"> </w:t>
      </w:r>
      <w:hyperlink r:id="rId6" w:history="1">
        <w:r w:rsidRPr="007D659D">
          <w:rPr>
            <w:rStyle w:val="Hipercze"/>
            <w:rFonts w:ascii="Times New Roman" w:hAnsi="Times New Roman"/>
            <w:sz w:val="20"/>
            <w:szCs w:val="20"/>
            <w:lang w:val="en-GB"/>
          </w:rPr>
          <w:t>http://creativecommons.org/licenses/</w:t>
        </w:r>
      </w:hyperlink>
    </w:p>
  </w:footnote>
  <w:footnote w:id="38">
    <w:p w14:paraId="535942D7" w14:textId="047FE2CB" w:rsidR="007F402B" w:rsidRPr="00A02B77" w:rsidRDefault="007F402B" w:rsidP="00602BD2">
      <w:pPr>
        <w:pStyle w:val="ODNONIKtreodnonika"/>
      </w:pPr>
      <w:r w:rsidRPr="00A02B77">
        <w:rPr>
          <w:rStyle w:val="Odwoanieprzypisudolnego"/>
        </w:rPr>
        <w:footnoteRef/>
      </w:r>
      <w:r w:rsidRPr="00C35203">
        <w:rPr>
          <w:vertAlign w:val="superscript"/>
        </w:rPr>
        <w:t>)</w:t>
      </w:r>
      <w:r w:rsidRPr="00A02B77">
        <w:t xml:space="preserve">  (Dz. U. 2019 r. poz. 1145, z późn. zm.), zwana dalej</w:t>
      </w:r>
      <w:r>
        <w:t xml:space="preserve"> jako: „k.c.”.</w:t>
      </w:r>
    </w:p>
  </w:footnote>
  <w:footnote w:id="39">
    <w:p w14:paraId="22661397" w14:textId="77777777" w:rsidR="007F402B" w:rsidRPr="00A02B77" w:rsidRDefault="007F402B" w:rsidP="00602BD2">
      <w:pPr>
        <w:pStyle w:val="ODNONIKtreodnonika"/>
      </w:pPr>
      <w:r w:rsidRPr="00A02B77">
        <w:rPr>
          <w:rStyle w:val="Odwoanieprzypisudolnego"/>
        </w:rPr>
        <w:footnoteRef/>
      </w:r>
      <w:r w:rsidRPr="00C35203">
        <w:rPr>
          <w:vertAlign w:val="superscript"/>
        </w:rPr>
        <w:t>)</w:t>
      </w:r>
      <w:r w:rsidRPr="00A02B77">
        <w:t xml:space="preserve"> (Dz. U. z 2020 r. poz. 256).</w:t>
      </w:r>
    </w:p>
  </w:footnote>
  <w:footnote w:id="40">
    <w:p w14:paraId="410A4765" w14:textId="77777777" w:rsidR="007F402B" w:rsidRPr="00A02B77" w:rsidRDefault="007F402B" w:rsidP="00602BD2">
      <w:pPr>
        <w:pStyle w:val="ODNONIKtreodnonika"/>
      </w:pPr>
      <w:r w:rsidRPr="00A02B77">
        <w:rPr>
          <w:rStyle w:val="Odwoanieprzypisudolnego"/>
        </w:rPr>
        <w:footnoteRef/>
      </w:r>
      <w:r w:rsidRPr="00FC3CFF">
        <w:rPr>
          <w:vertAlign w:val="superscript"/>
        </w:rPr>
        <w:t>)</w:t>
      </w:r>
      <w:r w:rsidRPr="00A02B77">
        <w:t xml:space="preserve"> (Dz. U. z 2019 r. poz. 2325, z późn. zm.).</w:t>
      </w:r>
    </w:p>
  </w:footnote>
  <w:footnote w:id="41">
    <w:p w14:paraId="4261C8BB" w14:textId="77777777" w:rsidR="007F402B" w:rsidRPr="00A02B77" w:rsidRDefault="007F402B" w:rsidP="00602BD2">
      <w:pPr>
        <w:pStyle w:val="ODNONIKtreodnonika"/>
      </w:pPr>
      <w:r w:rsidRPr="00A02B77">
        <w:rPr>
          <w:rStyle w:val="Odwoanieprzypisudolnego"/>
        </w:rPr>
        <w:footnoteRef/>
      </w:r>
      <w:r w:rsidRPr="00FC3CFF">
        <w:rPr>
          <w:vertAlign w:val="superscript"/>
        </w:rPr>
        <w:t>)</w:t>
      </w:r>
      <w:r w:rsidRPr="00A02B77">
        <w:t xml:space="preserve"> (Dz. U. z 2014 r. poz. 361, z późn. zm.).</w:t>
      </w:r>
    </w:p>
  </w:footnote>
  <w:footnote w:id="42">
    <w:p w14:paraId="3C5E7C02" w14:textId="77777777" w:rsidR="007F402B" w:rsidRDefault="007F402B" w:rsidP="00602BD2">
      <w:pPr>
        <w:pStyle w:val="ODNONIKtreodnonika"/>
      </w:pPr>
      <w:r w:rsidRPr="00A02B77">
        <w:rPr>
          <w:rStyle w:val="Odwoanieprzypisudolnego"/>
        </w:rPr>
        <w:footnoteRef/>
      </w:r>
      <w:r w:rsidRPr="00FC3CFF">
        <w:rPr>
          <w:vertAlign w:val="superscript"/>
        </w:rPr>
        <w:t>)</w:t>
      </w:r>
      <w:r w:rsidRPr="00A02B77">
        <w:t xml:space="preserve"> (Dz. U. z 2016 r. poz. 1011).</w:t>
      </w:r>
      <w:r>
        <w:t xml:space="preserve"> </w:t>
      </w:r>
    </w:p>
  </w:footnote>
  <w:footnote w:id="43">
    <w:p w14:paraId="0FC83CE9" w14:textId="77777777" w:rsidR="007F402B" w:rsidRPr="004F77B2" w:rsidRDefault="007F402B" w:rsidP="00602BD2">
      <w:pPr>
        <w:pStyle w:val="ODNONIKtreodnonika"/>
      </w:pPr>
      <w:r w:rsidRPr="004F77B2">
        <w:rPr>
          <w:rStyle w:val="Odwoanieprzypisudolnego"/>
        </w:rPr>
        <w:t>6)</w:t>
      </w:r>
      <w:r w:rsidRPr="004F77B2">
        <w:t xml:space="preserve">  </w:t>
      </w:r>
      <w:r w:rsidRPr="004F77B2">
        <w:rPr>
          <w:i/>
        </w:rPr>
        <w:t>Poczta i telekomunikacja – wyniki działalności w 2018 roku</w:t>
      </w:r>
      <w:r w:rsidRPr="004F77B2">
        <w:t>, GUS, Warszawa, Szczecin 2019, str. 20 (</w:t>
      </w:r>
      <w:hyperlink r:id="rId7" w:history="1">
        <w:r w:rsidRPr="004F77B2">
          <w:rPr>
            <w:rStyle w:val="Hipercze"/>
          </w:rPr>
          <w:t>https://stat.gov.pl/obszary-tematyczne/transport-i-lacznosc/lacznosc/poczta-i-telekomunikacja-wyniki-dzialalnosci-w-2018-r-,2,3.html</w:t>
        </w:r>
      </w:hyperlink>
      <w:r w:rsidRPr="004F77B2">
        <w:t>)</w:t>
      </w:r>
    </w:p>
  </w:footnote>
  <w:footnote w:id="44">
    <w:p w14:paraId="0FD56481" w14:textId="77777777" w:rsidR="007F402B" w:rsidRPr="004F77B2" w:rsidRDefault="007F402B" w:rsidP="00602BD2">
      <w:pPr>
        <w:pStyle w:val="ODNONIKtreodnonika"/>
      </w:pPr>
      <w:r w:rsidRPr="004F77B2">
        <w:rPr>
          <w:rStyle w:val="Odwoanieprzypisudolnego"/>
        </w:rPr>
        <w:t>7)</w:t>
      </w:r>
      <w:r w:rsidRPr="004F77B2">
        <w:t xml:space="preserve"> </w:t>
      </w:r>
      <w:r w:rsidRPr="004F77B2">
        <w:rPr>
          <w:i/>
        </w:rPr>
        <w:t>Miesięczna informacja o podmiotach gospodarki narodowej w rejestrze REGON sierpień 2019</w:t>
      </w:r>
      <w:r w:rsidRPr="004F77B2">
        <w:t>, GUS (</w:t>
      </w:r>
      <w:hyperlink r:id="rId8" w:history="1">
        <w:r w:rsidRPr="004F77B2">
          <w:rPr>
            <w:rStyle w:val="Hipercze"/>
          </w:rPr>
          <w:t>https://stat.gov.pl/obszary-tematyczne/podmioty-gospodarcze-wyniki-finansowe/zmiany-strukturalne-grup-podmiotow/miesieczna-informacja-o-podmiotach-gospodarki-narodowej-w-rejestrze-regon-sierpien-2019,4,26.html</w:t>
        </w:r>
      </w:hyperlink>
      <w:r w:rsidRPr="004F77B2">
        <w:t>)</w:t>
      </w:r>
    </w:p>
  </w:footnote>
  <w:footnote w:id="45">
    <w:p w14:paraId="087D62A3" w14:textId="77777777" w:rsidR="007F402B" w:rsidRPr="004F77B2" w:rsidRDefault="007F402B" w:rsidP="00602BD2">
      <w:pPr>
        <w:pStyle w:val="ODNONIKtreodnonika"/>
      </w:pPr>
      <w:r w:rsidRPr="004F77B2">
        <w:rPr>
          <w:rStyle w:val="Odwoanieprzypisudolnego"/>
        </w:rPr>
        <w:t>8)</w:t>
      </w:r>
      <w:r w:rsidRPr="004F77B2">
        <w:t xml:space="preserve"> </w:t>
      </w:r>
      <w:r w:rsidRPr="004F77B2">
        <w:rPr>
          <w:i/>
        </w:rPr>
        <w:t>Miesięczna informacja o podmiotach gospodarki narodowej w rejestrze REGON sierpień 2019</w:t>
      </w:r>
      <w:r w:rsidRPr="004F77B2">
        <w:t>, GUS (</w:t>
      </w:r>
      <w:hyperlink r:id="rId9" w:history="1">
        <w:r w:rsidRPr="004F77B2">
          <w:rPr>
            <w:rStyle w:val="Hipercze"/>
          </w:rPr>
          <w:t>https://stat.gov.pl/obszary-tematyczne/podmioty-gospodarcze-wyniki-finansowe/zmiany-strukturalne-grup-podmiotow/miesieczna-informacja-o-podmiotach-gospodarki-narodowej-w-rejestrze-regon-sierpien-2019,4,26.html</w:t>
        </w:r>
      </w:hyperlink>
      <w:r w:rsidRPr="004F77B2">
        <w:t>)</w:t>
      </w:r>
    </w:p>
  </w:footnote>
  <w:footnote w:id="46">
    <w:p w14:paraId="4D3DBC6A" w14:textId="77777777" w:rsidR="007F402B" w:rsidRPr="004F77B2" w:rsidRDefault="007F402B" w:rsidP="00602BD2">
      <w:pPr>
        <w:pStyle w:val="ODNONIKtreodnonika"/>
      </w:pPr>
      <w:r w:rsidRPr="004F77B2">
        <w:rPr>
          <w:rStyle w:val="Odwoanieprzypisudolnego"/>
        </w:rPr>
        <w:t>9)</w:t>
      </w:r>
      <w:r w:rsidRPr="004F77B2">
        <w:t xml:space="preserve"> </w:t>
      </w:r>
      <w:r w:rsidRPr="004F77B2">
        <w:rPr>
          <w:bCs/>
          <w:iCs/>
        </w:rPr>
        <w:t>Lista spółek nadzorowanych przez MGMiŻŚ, stan na 18.01.2018 (</w:t>
      </w:r>
      <w:hyperlink r:id="rId10" w:history="1">
        <w:r w:rsidRPr="004F77B2">
          <w:rPr>
            <w:rStyle w:val="Hipercze"/>
          </w:rPr>
          <w:t>https://gospodarkamorska.bip.gov.pl/lista-spolek-nadzorowanych/117074_lista-spolek-nadzorowanych.html</w:t>
        </w:r>
      </w:hyperlink>
      <w:r w:rsidRPr="004F77B2">
        <w:rPr>
          <w:bCs/>
          <w:iCs/>
        </w:rPr>
        <w:t>)</w:t>
      </w:r>
    </w:p>
  </w:footnote>
  <w:footnote w:id="47">
    <w:p w14:paraId="547206FF" w14:textId="77777777" w:rsidR="007F402B" w:rsidRDefault="007F402B" w:rsidP="00602BD2">
      <w:pPr>
        <w:pStyle w:val="ODNONIKtreodnonika"/>
      </w:pPr>
      <w:r w:rsidRPr="004F77B2">
        <w:rPr>
          <w:rStyle w:val="Odwoanieprzypisudolnego"/>
        </w:rPr>
        <w:t>10)</w:t>
      </w:r>
      <w:r w:rsidRPr="004F77B2">
        <w:t xml:space="preserve"> Sprawozdanie z funkcjonowania rynku transportu kolejowego w 2017 roku, Urząd Transportu Kolejowego, Warszawa 2018  (</w:t>
      </w:r>
      <w:hyperlink r:id="rId11" w:history="1">
        <w:r w:rsidRPr="004F77B2">
          <w:rPr>
            <w:rStyle w:val="Hipercze"/>
          </w:rPr>
          <w:t>https://utk.gov.pl/pl/raporty-i-analizy/analizy-i-monitoring/sprawozdania/14357,Sprawozdanie-z-funkcjonowania-rynku-kolejowego-w-2017-r.html</w:t>
        </w:r>
      </w:hyperlink>
      <w:r w:rsidRPr="004F77B2">
        <w:t>)</w:t>
      </w:r>
    </w:p>
  </w:footnote>
  <w:footnote w:id="48">
    <w:p w14:paraId="35835255" w14:textId="77777777" w:rsidR="007F402B" w:rsidRPr="004F77B2" w:rsidRDefault="007F402B" w:rsidP="00602BD2">
      <w:pPr>
        <w:pStyle w:val="ODNONIKtreodnonika"/>
      </w:pPr>
      <w:r w:rsidRPr="004F77B2">
        <w:rPr>
          <w:rStyle w:val="Odwoanieprzypisudolnego"/>
        </w:rPr>
        <w:t>11)</w:t>
      </w:r>
      <w:r w:rsidRPr="004F77B2">
        <w:t xml:space="preserve"> Dane Urzędu Lotnictwa Cywilnego na podstawie informacji uzyskanych z portów lotniczych, Warszawa, marzec 2019 (</w:t>
      </w:r>
      <w:hyperlink r:id="rId12" w:history="1">
        <w:r w:rsidRPr="004F77B2">
          <w:rPr>
            <w:rStyle w:val="Hipercze"/>
          </w:rPr>
          <w:t>https://www.ulc.gov.pl/_download/regulacja_rynku/statystyki/2018/4-kw-2018/wg_portow_lotniczych_kw42018.pdf</w:t>
        </w:r>
      </w:hyperlink>
      <w:r w:rsidRPr="004F77B2">
        <w:t>)</w:t>
      </w:r>
    </w:p>
  </w:footnote>
  <w:footnote w:id="49">
    <w:p w14:paraId="09FA5DB9" w14:textId="77777777" w:rsidR="007F402B" w:rsidRPr="004F77B2" w:rsidRDefault="007F402B" w:rsidP="00602BD2">
      <w:pPr>
        <w:pStyle w:val="ODNONIKtreodnonika"/>
      </w:pPr>
      <w:r w:rsidRPr="004F77B2">
        <w:rPr>
          <w:rStyle w:val="Odwoanieprzypisudolnego"/>
        </w:rPr>
        <w:t>12)</w:t>
      </w:r>
      <w:r w:rsidRPr="004F77B2">
        <w:t xml:space="preserve"> </w:t>
      </w:r>
      <w:r w:rsidRPr="004F77B2">
        <w:rPr>
          <w:i/>
        </w:rPr>
        <w:t>Program rozwoju polskich portów morskich do roku 2020 (z perspektywą do 2030 roku)</w:t>
      </w:r>
      <w:r w:rsidRPr="004F77B2">
        <w:t>, MGMiŻŚ, Warszawa 2017 (</w:t>
      </w:r>
      <w:hyperlink r:id="rId13" w:history="1">
        <w:r w:rsidRPr="004F77B2">
          <w:rPr>
            <w:rStyle w:val="Hipercze"/>
          </w:rPr>
          <w:t>https://www.gov.pl/documents/528248/541918/PROGRAM_PRPM_26112018.pdf/917baba4-8f73-1d3d-1f63-8446b0c41145</w:t>
        </w:r>
      </w:hyperlink>
      <w:r w:rsidRPr="004F77B2">
        <w:t>)</w:t>
      </w:r>
    </w:p>
  </w:footnote>
  <w:footnote w:id="50">
    <w:p w14:paraId="64EA49B0" w14:textId="77777777" w:rsidR="007F402B" w:rsidRPr="004F77B2" w:rsidRDefault="007F402B" w:rsidP="00602BD2">
      <w:pPr>
        <w:pStyle w:val="ODNONIKtreodnonika"/>
      </w:pPr>
      <w:r w:rsidRPr="004F77B2">
        <w:rPr>
          <w:rStyle w:val="Odwoanieprzypisudolnego"/>
        </w:rPr>
        <w:t>13)</w:t>
      </w:r>
      <w:r w:rsidRPr="004F77B2">
        <w:t xml:space="preserve"> </w:t>
      </w:r>
      <w:r w:rsidRPr="004F77B2">
        <w:rPr>
          <w:i/>
        </w:rPr>
        <w:t>Miesięczna informacja o podmiotach gospodarki narodowej w rejestrze REGON sierpień 2019</w:t>
      </w:r>
      <w:r w:rsidRPr="004F77B2">
        <w:t>, GUS (</w:t>
      </w:r>
      <w:hyperlink r:id="rId14" w:history="1">
        <w:r w:rsidRPr="004F77B2">
          <w:rPr>
            <w:rStyle w:val="Hipercze"/>
          </w:rPr>
          <w:t>https://stat.gov.pl/obszary-tematyczne/podmioty-gospodarcze-wyniki-finansowe/zmiany-strukturalne-grup-podmiotow/miesieczna-informacja-o-podmiotach-gospodarki-narodowej-w-rejestrze-regon-sierpien-2019,4,26.html</w:t>
        </w:r>
      </w:hyperlink>
      <w:r w:rsidRPr="004F77B2">
        <w:t>)</w:t>
      </w:r>
    </w:p>
  </w:footnote>
  <w:footnote w:id="51">
    <w:p w14:paraId="0B19C9B8" w14:textId="77777777" w:rsidR="007F402B" w:rsidRPr="004F77B2" w:rsidRDefault="007F402B" w:rsidP="00602BD2">
      <w:pPr>
        <w:pStyle w:val="ODNONIKtreodnonika"/>
      </w:pPr>
      <w:r w:rsidRPr="004F77B2">
        <w:rPr>
          <w:rStyle w:val="Odwoanieprzypisudolnego"/>
        </w:rPr>
        <w:t>14)</w:t>
      </w:r>
      <w:r w:rsidRPr="004F77B2">
        <w:t xml:space="preserve"> </w:t>
      </w:r>
      <w:r w:rsidRPr="004F77B2">
        <w:rPr>
          <w:i/>
        </w:rPr>
        <w:t>Miesięczna informacja o podmiotach gospodarki narodowej w rejestrze REGON sierpień 2019</w:t>
      </w:r>
      <w:r w:rsidRPr="004F77B2">
        <w:t>, GUS (</w:t>
      </w:r>
      <w:hyperlink r:id="rId15" w:history="1">
        <w:r w:rsidRPr="004F77B2">
          <w:rPr>
            <w:rStyle w:val="Hipercze"/>
          </w:rPr>
          <w:t>https://stat.gov.pl/obszary-tematyczne/podmioty-gospodarcze-wyniki-finansowe/zmiany-strukturalne-grup-podmiotow/miesieczna-informacja-o-podmiotach-gospodarki-narodowej-w-rejestrze-regon-sierpien-2019,4,26.html</w:t>
        </w:r>
      </w:hyperlink>
      <w:r w:rsidRPr="004F77B2">
        <w:t>)</w:t>
      </w:r>
    </w:p>
  </w:footnote>
  <w:footnote w:id="52">
    <w:p w14:paraId="775C5715" w14:textId="77777777" w:rsidR="007F402B" w:rsidRPr="004F77B2" w:rsidRDefault="007F402B" w:rsidP="00602BD2">
      <w:pPr>
        <w:pStyle w:val="ODNONIKtreodnonika"/>
      </w:pPr>
      <w:r w:rsidRPr="004F77B2">
        <w:rPr>
          <w:rStyle w:val="Odwoanieprzypisudolnego"/>
        </w:rPr>
        <w:t>15)</w:t>
      </w:r>
      <w:r w:rsidRPr="004F77B2">
        <w:t xml:space="preserve"> </w:t>
      </w:r>
      <w:r w:rsidRPr="004F77B2">
        <w:rPr>
          <w:i/>
        </w:rPr>
        <w:t>Miesięczna informacja o podmiotach gospodarki narodowej w rejestrze REGON sierpień 2019</w:t>
      </w:r>
      <w:r w:rsidRPr="004F77B2">
        <w:t>, GUS (</w:t>
      </w:r>
      <w:hyperlink r:id="rId16" w:history="1">
        <w:r w:rsidRPr="004F77B2">
          <w:rPr>
            <w:rStyle w:val="Hipercze"/>
          </w:rPr>
          <w:t>https://stat.gov.pl/obszary-tematyczne/podmioty-gospodarcze-wyniki-finansowe/zmiany-strukturalne-grup-podmiotow/miesieczna-informacja-o-podmiotach-gospodarki-narodowej-w-rejestrze-regon-sierpien-2019,4,26.html</w:t>
        </w:r>
      </w:hyperlink>
      <w:r w:rsidRPr="004F77B2">
        <w:t>)</w:t>
      </w:r>
    </w:p>
  </w:footnote>
  <w:footnote w:id="53">
    <w:p w14:paraId="2C85A629" w14:textId="77777777" w:rsidR="007F402B" w:rsidRPr="004F77B2" w:rsidRDefault="007F402B" w:rsidP="00602BD2">
      <w:pPr>
        <w:pStyle w:val="ODNONIKtreodnonika"/>
      </w:pPr>
      <w:r w:rsidRPr="004F77B2">
        <w:rPr>
          <w:rStyle w:val="Odwoanieprzypisudolnego"/>
        </w:rPr>
        <w:t>16)</w:t>
      </w:r>
      <w:r w:rsidRPr="004F77B2">
        <w:t xml:space="preserve"> </w:t>
      </w:r>
      <w:r w:rsidRPr="004F77B2">
        <w:rPr>
          <w:i/>
        </w:rPr>
        <w:t>Miesięczna informacja o podmiotach gospodarki narodowej w rejestrze REGON sierpień 2019</w:t>
      </w:r>
      <w:r w:rsidRPr="004F77B2">
        <w:t>, GUS (</w:t>
      </w:r>
      <w:hyperlink r:id="rId17" w:history="1">
        <w:r w:rsidRPr="004F77B2">
          <w:rPr>
            <w:rStyle w:val="Hipercze"/>
          </w:rPr>
          <w:t>https://stat.gov.pl/obszary-tematyczne/podmioty-gospodarcze-wyniki-finansowe/zmiany-strukturalne-grup-podmiotow/miesieczna-informacja-o-podmiotach-gospodarki-narodowej-w-rejestrze-regon-sierpien-2019,4,26.html</w:t>
        </w:r>
      </w:hyperlink>
      <w:r w:rsidRPr="004F77B2">
        <w:t>)</w:t>
      </w:r>
    </w:p>
  </w:footnote>
  <w:footnote w:id="54">
    <w:p w14:paraId="1E442B2B" w14:textId="77777777" w:rsidR="007F402B" w:rsidRDefault="007F402B" w:rsidP="00602BD2">
      <w:pPr>
        <w:pStyle w:val="ODNONIKtreodnonika"/>
      </w:pPr>
      <w:r w:rsidRPr="004F77B2">
        <w:rPr>
          <w:rStyle w:val="Odwoanieprzypisudolnego"/>
        </w:rPr>
        <w:t>17)</w:t>
      </w:r>
      <w:r w:rsidRPr="004F77B2">
        <w:t xml:space="preserve"> Ministerstwo Nauki i Szkolnictwa Wyższego – Uczelnie publiczne (</w:t>
      </w:r>
      <w:hyperlink r:id="rId18" w:history="1">
        <w:r w:rsidRPr="004F77B2">
          <w:rPr>
            <w:rStyle w:val="Hipercze"/>
          </w:rPr>
          <w:t>https://www.gov.pl/web/nauka/uczelnie-publiczne</w:t>
        </w:r>
      </w:hyperlink>
      <w:r w:rsidRPr="004F77B2">
        <w:t>)</w:t>
      </w:r>
    </w:p>
  </w:footnote>
  <w:footnote w:id="55">
    <w:p w14:paraId="3838D3E8" w14:textId="77777777" w:rsidR="007F402B" w:rsidRPr="004F77B2" w:rsidRDefault="007F402B" w:rsidP="00602BD2">
      <w:pPr>
        <w:pStyle w:val="ODNONIKtreodnonika"/>
      </w:pPr>
      <w:r w:rsidRPr="004F77B2">
        <w:rPr>
          <w:rStyle w:val="Odwoanieprzypisudolnego"/>
        </w:rPr>
        <w:t>18)</w:t>
      </w:r>
      <w:r w:rsidRPr="004F77B2">
        <w:t xml:space="preserve"> Biuletyn Informacyjny Rady Głównej Instytutów Badawczych, nr 1 (104), kwiecień 2019 r., s. 1-2 (</w:t>
      </w:r>
      <w:hyperlink r:id="rId19" w:history="1">
        <w:r w:rsidRPr="004F77B2">
          <w:rPr>
            <w:rStyle w:val="Hipercze"/>
          </w:rPr>
          <w:t>https://www.rgib.org.pl/images/dokumenty/biuletyn/biuletyn_1_2019.pdf</w:t>
        </w:r>
      </w:hyperlink>
      <w:r w:rsidRPr="004F77B2">
        <w:t>)</w:t>
      </w:r>
    </w:p>
  </w:footnote>
  <w:footnote w:id="56">
    <w:p w14:paraId="77264977" w14:textId="77777777" w:rsidR="007F402B" w:rsidRPr="001A7153" w:rsidRDefault="007F402B" w:rsidP="006653AE">
      <w:pPr>
        <w:pStyle w:val="Tekstprzypisudolnego"/>
        <w:spacing w:line="240" w:lineRule="auto"/>
        <w:rPr>
          <w:sz w:val="21"/>
          <w:szCs w:val="21"/>
        </w:rPr>
      </w:pPr>
      <w:r w:rsidRPr="001A7153">
        <w:rPr>
          <w:rStyle w:val="Odwoanieprzypisudolnego"/>
          <w:sz w:val="21"/>
          <w:szCs w:val="21"/>
        </w:rPr>
        <w:footnoteRef/>
      </w:r>
      <w:r w:rsidRPr="001A7153">
        <w:rPr>
          <w:sz w:val="21"/>
          <w:szCs w:val="21"/>
        </w:rPr>
        <w:t xml:space="preserve"> 1 870 323 zł</w:t>
      </w:r>
    </w:p>
  </w:footnote>
  <w:footnote w:id="57">
    <w:p w14:paraId="12DD4070" w14:textId="77777777" w:rsidR="007F402B" w:rsidRPr="006653AE" w:rsidRDefault="007F402B">
      <w:pPr>
        <w:pStyle w:val="Tekstprzypisudolnego"/>
        <w:rPr>
          <w:sz w:val="21"/>
          <w:szCs w:val="21"/>
        </w:rPr>
      </w:pPr>
      <w:r w:rsidRPr="006653AE">
        <w:rPr>
          <w:rStyle w:val="Odwoanieprzypisudolnego"/>
          <w:sz w:val="21"/>
          <w:szCs w:val="21"/>
        </w:rPr>
        <w:footnoteRef/>
      </w:r>
      <w:r w:rsidRPr="006653AE">
        <w:rPr>
          <w:sz w:val="21"/>
          <w:szCs w:val="21"/>
        </w:rPr>
        <w:t xml:space="preserve"> </w:t>
      </w:r>
      <w:r>
        <w:rPr>
          <w:sz w:val="21"/>
          <w:szCs w:val="21"/>
        </w:rPr>
        <w:t xml:space="preserve"> </w:t>
      </w:r>
      <w:r w:rsidRPr="006653AE">
        <w:rPr>
          <w:sz w:val="21"/>
          <w:szCs w:val="21"/>
        </w:rPr>
        <w:t>339 677 zł</w:t>
      </w:r>
    </w:p>
  </w:footnote>
  <w:footnote w:id="58">
    <w:p w14:paraId="4CFDB2DF" w14:textId="77777777" w:rsidR="007F402B" w:rsidRDefault="007F402B" w:rsidP="00602BD2">
      <w:pPr>
        <w:pStyle w:val="ODNONIKtreodnonika"/>
      </w:pPr>
      <w:r>
        <w:rPr>
          <w:rStyle w:val="Odwoanieprzypisudolnego"/>
        </w:rPr>
        <w:t>21)</w:t>
      </w:r>
      <w:r>
        <w:t xml:space="preserve"> </w:t>
      </w:r>
      <w:r w:rsidRPr="004F77B2">
        <w:t>Por: Europejski Portal Danych (</w:t>
      </w:r>
      <w:hyperlink r:id="rId20" w:history="1">
        <w:r w:rsidRPr="004F77B2">
          <w:rPr>
            <w:rStyle w:val="Hipercze"/>
          </w:rPr>
          <w:t>https://www.europeandataportal.eu/pl/using-data/benefits-of-open-data</w:t>
        </w:r>
      </w:hyperlink>
      <w:r w:rsidRPr="004F77B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8FB43" w14:textId="17EBAC17" w:rsidR="007F402B" w:rsidRPr="00B371CC" w:rsidRDefault="007F402B" w:rsidP="00B371CC">
    <w:pPr>
      <w:pStyle w:val="Nagwek"/>
      <w:jc w:val="center"/>
    </w:pPr>
    <w:r>
      <w:t xml:space="preserve">– </w:t>
    </w:r>
    <w:r>
      <w:fldChar w:fldCharType="begin"/>
    </w:r>
    <w:r>
      <w:instrText xml:space="preserve"> PAGE  \* MERGEFORMAT </w:instrText>
    </w:r>
    <w:r>
      <w:fldChar w:fldCharType="separate"/>
    </w:r>
    <w:r w:rsidR="00BD5A37">
      <w:rPr>
        <w:noProof/>
      </w:rPr>
      <w:t>24</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845"/>
    <w:multiLevelType w:val="hybridMultilevel"/>
    <w:tmpl w:val="B5309C82"/>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E3C8E"/>
    <w:multiLevelType w:val="hybridMultilevel"/>
    <w:tmpl w:val="A974395E"/>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A258E9"/>
    <w:multiLevelType w:val="hybridMultilevel"/>
    <w:tmpl w:val="5FEA0A7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5CE6672"/>
    <w:multiLevelType w:val="hybridMultilevel"/>
    <w:tmpl w:val="CB308302"/>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CF6BCA"/>
    <w:multiLevelType w:val="hybridMultilevel"/>
    <w:tmpl w:val="42AA09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42F75"/>
    <w:multiLevelType w:val="hybridMultilevel"/>
    <w:tmpl w:val="3A9034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9525FD"/>
    <w:multiLevelType w:val="hybridMultilevel"/>
    <w:tmpl w:val="0DA005D4"/>
    <w:lvl w:ilvl="0" w:tplc="113EC26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7B34AE"/>
    <w:multiLevelType w:val="hybridMultilevel"/>
    <w:tmpl w:val="598CD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B873F6"/>
    <w:multiLevelType w:val="hybridMultilevel"/>
    <w:tmpl w:val="FA68F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8F2954"/>
    <w:multiLevelType w:val="hybridMultilevel"/>
    <w:tmpl w:val="A39865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08096B"/>
    <w:multiLevelType w:val="hybridMultilevel"/>
    <w:tmpl w:val="F32C972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162AA"/>
    <w:multiLevelType w:val="hybridMultilevel"/>
    <w:tmpl w:val="144AD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507A53"/>
    <w:multiLevelType w:val="hybridMultilevel"/>
    <w:tmpl w:val="D8E42F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0B64BE"/>
    <w:multiLevelType w:val="hybridMultilevel"/>
    <w:tmpl w:val="ADCE4D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85718AC"/>
    <w:multiLevelType w:val="hybridMultilevel"/>
    <w:tmpl w:val="77EADA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0E0F15"/>
    <w:multiLevelType w:val="hybridMultilevel"/>
    <w:tmpl w:val="DFBCD0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25E1B"/>
    <w:multiLevelType w:val="hybridMultilevel"/>
    <w:tmpl w:val="F6A60A4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1443BA"/>
    <w:multiLevelType w:val="hybridMultilevel"/>
    <w:tmpl w:val="F5EE413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E78378A"/>
    <w:multiLevelType w:val="hybridMultilevel"/>
    <w:tmpl w:val="9F38D062"/>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7757D9"/>
    <w:multiLevelType w:val="hybridMultilevel"/>
    <w:tmpl w:val="8D2E9D6A"/>
    <w:lvl w:ilvl="0" w:tplc="6C6CDF5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5B13C2"/>
    <w:multiLevelType w:val="hybridMultilevel"/>
    <w:tmpl w:val="1088A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625D50"/>
    <w:multiLevelType w:val="hybridMultilevel"/>
    <w:tmpl w:val="8E364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875EB3"/>
    <w:multiLevelType w:val="hybridMultilevel"/>
    <w:tmpl w:val="67F20F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BDF78D3"/>
    <w:multiLevelType w:val="hybridMultilevel"/>
    <w:tmpl w:val="EA9CF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887965"/>
    <w:multiLevelType w:val="hybridMultilevel"/>
    <w:tmpl w:val="2C76F7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245141"/>
    <w:multiLevelType w:val="hybridMultilevel"/>
    <w:tmpl w:val="56683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4E547B"/>
    <w:multiLevelType w:val="hybridMultilevel"/>
    <w:tmpl w:val="967C93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F101BC"/>
    <w:multiLevelType w:val="hybridMultilevel"/>
    <w:tmpl w:val="521A2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6E55FE"/>
    <w:multiLevelType w:val="hybridMultilevel"/>
    <w:tmpl w:val="95822A3E"/>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0" w15:restartNumberingAfterBreak="0">
    <w:nsid w:val="6226089A"/>
    <w:multiLevelType w:val="hybridMultilevel"/>
    <w:tmpl w:val="C666BA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9D5CB4"/>
    <w:multiLevelType w:val="hybridMultilevel"/>
    <w:tmpl w:val="B3BE3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50A75E3"/>
    <w:multiLevelType w:val="singleLevel"/>
    <w:tmpl w:val="EEC6E872"/>
    <w:lvl w:ilvl="0">
      <w:start w:val="1"/>
      <w:numFmt w:val="decimal"/>
      <w:lvlText w:val="%1."/>
      <w:lvlJc w:val="left"/>
      <w:pPr>
        <w:tabs>
          <w:tab w:val="num" w:pos="785"/>
        </w:tabs>
        <w:ind w:left="785" w:hanging="360"/>
      </w:pPr>
      <w:rPr>
        <w:rFonts w:ascii="Times New Roman" w:eastAsia="Times New Roman" w:hAnsi="Times New Roman" w:cs="Times New Roman"/>
      </w:rPr>
    </w:lvl>
  </w:abstractNum>
  <w:abstractNum w:abstractNumId="33" w15:restartNumberingAfterBreak="0">
    <w:nsid w:val="65693335"/>
    <w:multiLevelType w:val="hybridMultilevel"/>
    <w:tmpl w:val="1088A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B44D3B"/>
    <w:multiLevelType w:val="hybridMultilevel"/>
    <w:tmpl w:val="2A6235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74B6827"/>
    <w:multiLevelType w:val="hybridMultilevel"/>
    <w:tmpl w:val="F68E2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0B32D2"/>
    <w:multiLevelType w:val="hybridMultilevel"/>
    <w:tmpl w:val="D7EAE59C"/>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1E80FF0"/>
    <w:multiLevelType w:val="hybridMultilevel"/>
    <w:tmpl w:val="1CA40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4A2FDE"/>
    <w:multiLevelType w:val="singleLevel"/>
    <w:tmpl w:val="EEC6E872"/>
    <w:lvl w:ilvl="0">
      <w:start w:val="1"/>
      <w:numFmt w:val="decimal"/>
      <w:lvlText w:val="%1."/>
      <w:lvlJc w:val="left"/>
      <w:pPr>
        <w:tabs>
          <w:tab w:val="num" w:pos="785"/>
        </w:tabs>
        <w:ind w:left="785" w:hanging="360"/>
      </w:pPr>
      <w:rPr>
        <w:rFonts w:ascii="Times New Roman" w:eastAsia="Times New Roman" w:hAnsi="Times New Roman" w:cs="Times New Roman"/>
      </w:rPr>
    </w:lvl>
  </w:abstractNum>
  <w:abstractNum w:abstractNumId="39" w15:restartNumberingAfterBreak="0">
    <w:nsid w:val="770E2DFE"/>
    <w:multiLevelType w:val="hybridMultilevel"/>
    <w:tmpl w:val="2A9CF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2759FB"/>
    <w:multiLevelType w:val="hybridMultilevel"/>
    <w:tmpl w:val="8AC41812"/>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41" w15:restartNumberingAfterBreak="0">
    <w:nsid w:val="7993467B"/>
    <w:multiLevelType w:val="hybridMultilevel"/>
    <w:tmpl w:val="49500B5C"/>
    <w:lvl w:ilvl="0" w:tplc="7326F0B6">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B7C23D7"/>
    <w:multiLevelType w:val="hybridMultilevel"/>
    <w:tmpl w:val="157C9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EB4B46"/>
    <w:multiLevelType w:val="hybridMultilevel"/>
    <w:tmpl w:val="41585D00"/>
    <w:lvl w:ilvl="0" w:tplc="CAEE804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6C59F6"/>
    <w:multiLevelType w:val="hybridMultilevel"/>
    <w:tmpl w:val="5B60FA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7"/>
  </w:num>
  <w:num w:numId="3">
    <w:abstractNumId w:val="35"/>
  </w:num>
  <w:num w:numId="4">
    <w:abstractNumId w:val="31"/>
  </w:num>
  <w:num w:numId="5">
    <w:abstractNumId w:val="28"/>
  </w:num>
  <w:num w:numId="6">
    <w:abstractNumId w:val="19"/>
  </w:num>
  <w:num w:numId="7">
    <w:abstractNumId w:val="34"/>
  </w:num>
  <w:num w:numId="8">
    <w:abstractNumId w:val="22"/>
  </w:num>
  <w:num w:numId="9">
    <w:abstractNumId w:val="26"/>
  </w:num>
  <w:num w:numId="10">
    <w:abstractNumId w:val="10"/>
  </w:num>
  <w:num w:numId="11">
    <w:abstractNumId w:val="43"/>
  </w:num>
  <w:num w:numId="12">
    <w:abstractNumId w:val="27"/>
  </w:num>
  <w:num w:numId="13">
    <w:abstractNumId w:val="30"/>
  </w:num>
  <w:num w:numId="14">
    <w:abstractNumId w:val="33"/>
  </w:num>
  <w:num w:numId="15">
    <w:abstractNumId w:val="21"/>
  </w:num>
  <w:num w:numId="16">
    <w:abstractNumId w:val="20"/>
  </w:num>
  <w:num w:numId="17">
    <w:abstractNumId w:val="2"/>
  </w:num>
  <w:num w:numId="18">
    <w:abstractNumId w:val="18"/>
  </w:num>
  <w:num w:numId="19">
    <w:abstractNumId w:val="9"/>
  </w:num>
  <w:num w:numId="20">
    <w:abstractNumId w:val="23"/>
  </w:num>
  <w:num w:numId="21">
    <w:abstractNumId w:val="12"/>
  </w:num>
  <w:num w:numId="22">
    <w:abstractNumId w:val="44"/>
  </w:num>
  <w:num w:numId="23">
    <w:abstractNumId w:val="4"/>
  </w:num>
  <w:num w:numId="24">
    <w:abstractNumId w:val="25"/>
  </w:num>
  <w:num w:numId="25">
    <w:abstractNumId w:val="37"/>
  </w:num>
  <w:num w:numId="26">
    <w:abstractNumId w:val="13"/>
  </w:num>
  <w:num w:numId="27">
    <w:abstractNumId w:val="41"/>
  </w:num>
  <w:num w:numId="28">
    <w:abstractNumId w:val="5"/>
  </w:num>
  <w:num w:numId="29">
    <w:abstractNumId w:val="8"/>
  </w:num>
  <w:num w:numId="30">
    <w:abstractNumId w:val="42"/>
  </w:num>
  <w:num w:numId="31">
    <w:abstractNumId w:val="39"/>
  </w:num>
  <w:num w:numId="32">
    <w:abstractNumId w:val="14"/>
  </w:num>
  <w:num w:numId="33">
    <w:abstractNumId w:val="11"/>
  </w:num>
  <w:num w:numId="34">
    <w:abstractNumId w:val="40"/>
  </w:num>
  <w:num w:numId="35">
    <w:abstractNumId w:val="29"/>
  </w:num>
  <w:num w:numId="36">
    <w:abstractNumId w:val="38"/>
  </w:num>
  <w:num w:numId="37">
    <w:abstractNumId w:val="32"/>
  </w:num>
  <w:num w:numId="38">
    <w:abstractNumId w:val="3"/>
  </w:num>
  <w:num w:numId="39">
    <w:abstractNumId w:val="1"/>
  </w:num>
  <w:num w:numId="40">
    <w:abstractNumId w:val="6"/>
  </w:num>
  <w:num w:numId="41">
    <w:abstractNumId w:val="0"/>
  </w:num>
  <w:num w:numId="42">
    <w:abstractNumId w:val="36"/>
  </w:num>
  <w:num w:numId="43">
    <w:abstractNumId w:val="17"/>
  </w:num>
  <w:num w:numId="44">
    <w:abstractNumId w:val="24"/>
  </w:num>
  <w:num w:numId="45">
    <w:abstractNumId w:val="15"/>
  </w:num>
  <w:num w:numId="46">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0D7"/>
    <w:rsid w:val="000012DA"/>
    <w:rsid w:val="000023BA"/>
    <w:rsid w:val="0000246E"/>
    <w:rsid w:val="000030C7"/>
    <w:rsid w:val="00003862"/>
    <w:rsid w:val="00007841"/>
    <w:rsid w:val="00012A35"/>
    <w:rsid w:val="00015B62"/>
    <w:rsid w:val="00015BAE"/>
    <w:rsid w:val="00016099"/>
    <w:rsid w:val="0001659E"/>
    <w:rsid w:val="00017A4D"/>
    <w:rsid w:val="00017DC2"/>
    <w:rsid w:val="00021522"/>
    <w:rsid w:val="0002246E"/>
    <w:rsid w:val="00023471"/>
    <w:rsid w:val="00023F13"/>
    <w:rsid w:val="000268B0"/>
    <w:rsid w:val="00027925"/>
    <w:rsid w:val="00030634"/>
    <w:rsid w:val="00031398"/>
    <w:rsid w:val="000319C1"/>
    <w:rsid w:val="00031A8B"/>
    <w:rsid w:val="00031BCA"/>
    <w:rsid w:val="000321B2"/>
    <w:rsid w:val="00032E13"/>
    <w:rsid w:val="000330FA"/>
    <w:rsid w:val="0003362F"/>
    <w:rsid w:val="000356DB"/>
    <w:rsid w:val="000365AE"/>
    <w:rsid w:val="00036B63"/>
    <w:rsid w:val="00037D12"/>
    <w:rsid w:val="00037E1A"/>
    <w:rsid w:val="0004078C"/>
    <w:rsid w:val="00043495"/>
    <w:rsid w:val="000468B1"/>
    <w:rsid w:val="00046A75"/>
    <w:rsid w:val="00047312"/>
    <w:rsid w:val="000508BD"/>
    <w:rsid w:val="000517AB"/>
    <w:rsid w:val="0005300F"/>
    <w:rsid w:val="0005339C"/>
    <w:rsid w:val="00053BE3"/>
    <w:rsid w:val="0005571B"/>
    <w:rsid w:val="00057AB3"/>
    <w:rsid w:val="00060076"/>
    <w:rsid w:val="00060432"/>
    <w:rsid w:val="00060D87"/>
    <w:rsid w:val="000615A5"/>
    <w:rsid w:val="00063E6F"/>
    <w:rsid w:val="00064E4C"/>
    <w:rsid w:val="00064F61"/>
    <w:rsid w:val="00065ABF"/>
    <w:rsid w:val="00066901"/>
    <w:rsid w:val="00071BEE"/>
    <w:rsid w:val="000736CD"/>
    <w:rsid w:val="00073ACE"/>
    <w:rsid w:val="0007533B"/>
    <w:rsid w:val="0007545D"/>
    <w:rsid w:val="00075F75"/>
    <w:rsid w:val="000760BF"/>
    <w:rsid w:val="0007613E"/>
    <w:rsid w:val="000763F5"/>
    <w:rsid w:val="00076ABF"/>
    <w:rsid w:val="00076BFC"/>
    <w:rsid w:val="00077D84"/>
    <w:rsid w:val="000802A4"/>
    <w:rsid w:val="000814A7"/>
    <w:rsid w:val="00081E11"/>
    <w:rsid w:val="0008236A"/>
    <w:rsid w:val="0008557B"/>
    <w:rsid w:val="00085CE7"/>
    <w:rsid w:val="000906EE"/>
    <w:rsid w:val="000908BD"/>
    <w:rsid w:val="00091BA2"/>
    <w:rsid w:val="000930F9"/>
    <w:rsid w:val="000944EF"/>
    <w:rsid w:val="0009528B"/>
    <w:rsid w:val="0009732D"/>
    <w:rsid w:val="000973F0"/>
    <w:rsid w:val="000A1296"/>
    <w:rsid w:val="000A1C27"/>
    <w:rsid w:val="000A1DAD"/>
    <w:rsid w:val="000A22AD"/>
    <w:rsid w:val="000A2649"/>
    <w:rsid w:val="000A3006"/>
    <w:rsid w:val="000A323B"/>
    <w:rsid w:val="000A40C5"/>
    <w:rsid w:val="000A4428"/>
    <w:rsid w:val="000A5C0D"/>
    <w:rsid w:val="000B0C3B"/>
    <w:rsid w:val="000B298D"/>
    <w:rsid w:val="000B3765"/>
    <w:rsid w:val="000B5771"/>
    <w:rsid w:val="000B5B2D"/>
    <w:rsid w:val="000B5DCE"/>
    <w:rsid w:val="000B6BFA"/>
    <w:rsid w:val="000C0300"/>
    <w:rsid w:val="000C05BA"/>
    <w:rsid w:val="000C0E8F"/>
    <w:rsid w:val="000C3465"/>
    <w:rsid w:val="000C4BC4"/>
    <w:rsid w:val="000D0110"/>
    <w:rsid w:val="000D2468"/>
    <w:rsid w:val="000D30EE"/>
    <w:rsid w:val="000D318A"/>
    <w:rsid w:val="000D6173"/>
    <w:rsid w:val="000D62D5"/>
    <w:rsid w:val="000D6F83"/>
    <w:rsid w:val="000E25CC"/>
    <w:rsid w:val="000E3694"/>
    <w:rsid w:val="000E490F"/>
    <w:rsid w:val="000E4B7C"/>
    <w:rsid w:val="000E5306"/>
    <w:rsid w:val="000E6241"/>
    <w:rsid w:val="000F2BE3"/>
    <w:rsid w:val="000F3D0D"/>
    <w:rsid w:val="000F45DA"/>
    <w:rsid w:val="000F60D0"/>
    <w:rsid w:val="000F6DCB"/>
    <w:rsid w:val="000F6ED4"/>
    <w:rsid w:val="000F7A6E"/>
    <w:rsid w:val="00100E81"/>
    <w:rsid w:val="001019FF"/>
    <w:rsid w:val="0010296C"/>
    <w:rsid w:val="00102AE3"/>
    <w:rsid w:val="001042BA"/>
    <w:rsid w:val="00106223"/>
    <w:rsid w:val="00106D03"/>
    <w:rsid w:val="00110294"/>
    <w:rsid w:val="00110465"/>
    <w:rsid w:val="00110628"/>
    <w:rsid w:val="0011245A"/>
    <w:rsid w:val="00112758"/>
    <w:rsid w:val="0011479F"/>
    <w:rsid w:val="0011493E"/>
    <w:rsid w:val="00115B72"/>
    <w:rsid w:val="00117211"/>
    <w:rsid w:val="00117F51"/>
    <w:rsid w:val="001209EC"/>
    <w:rsid w:val="00120A9E"/>
    <w:rsid w:val="00121F8A"/>
    <w:rsid w:val="00124006"/>
    <w:rsid w:val="001257CC"/>
    <w:rsid w:val="00125A9C"/>
    <w:rsid w:val="00126B59"/>
    <w:rsid w:val="001270A2"/>
    <w:rsid w:val="00131237"/>
    <w:rsid w:val="001329AC"/>
    <w:rsid w:val="00133B24"/>
    <w:rsid w:val="00134CA0"/>
    <w:rsid w:val="00135FE2"/>
    <w:rsid w:val="0014026F"/>
    <w:rsid w:val="00140654"/>
    <w:rsid w:val="00145734"/>
    <w:rsid w:val="00146AE7"/>
    <w:rsid w:val="00147A47"/>
    <w:rsid w:val="00147AA1"/>
    <w:rsid w:val="00147DDE"/>
    <w:rsid w:val="00147DFF"/>
    <w:rsid w:val="001520CF"/>
    <w:rsid w:val="00153EF5"/>
    <w:rsid w:val="00155E5A"/>
    <w:rsid w:val="00156628"/>
    <w:rsid w:val="0015667C"/>
    <w:rsid w:val="00157110"/>
    <w:rsid w:val="0015742A"/>
    <w:rsid w:val="00157506"/>
    <w:rsid w:val="00157D2E"/>
    <w:rsid w:val="00157DA1"/>
    <w:rsid w:val="00160BFA"/>
    <w:rsid w:val="00162943"/>
    <w:rsid w:val="00162ABC"/>
    <w:rsid w:val="00163147"/>
    <w:rsid w:val="00164C57"/>
    <w:rsid w:val="00164C9D"/>
    <w:rsid w:val="001657FE"/>
    <w:rsid w:val="00165D38"/>
    <w:rsid w:val="001670C1"/>
    <w:rsid w:val="00167F1E"/>
    <w:rsid w:val="0017195B"/>
    <w:rsid w:val="00172F7A"/>
    <w:rsid w:val="00173150"/>
    <w:rsid w:val="00173390"/>
    <w:rsid w:val="001736F0"/>
    <w:rsid w:val="00173BB3"/>
    <w:rsid w:val="001740D0"/>
    <w:rsid w:val="00174F2C"/>
    <w:rsid w:val="00176D5A"/>
    <w:rsid w:val="001801DE"/>
    <w:rsid w:val="00180F2A"/>
    <w:rsid w:val="001839B2"/>
    <w:rsid w:val="00184B91"/>
    <w:rsid w:val="00184D4A"/>
    <w:rsid w:val="00185299"/>
    <w:rsid w:val="00186EC1"/>
    <w:rsid w:val="00190A3E"/>
    <w:rsid w:val="00190DE1"/>
    <w:rsid w:val="00191BB0"/>
    <w:rsid w:val="00191E1F"/>
    <w:rsid w:val="0019473B"/>
    <w:rsid w:val="001952B1"/>
    <w:rsid w:val="00196B01"/>
    <w:rsid w:val="00196E39"/>
    <w:rsid w:val="00197649"/>
    <w:rsid w:val="001A01FB"/>
    <w:rsid w:val="001A0C6A"/>
    <w:rsid w:val="001A0E26"/>
    <w:rsid w:val="001A10E9"/>
    <w:rsid w:val="001A183D"/>
    <w:rsid w:val="001A1C16"/>
    <w:rsid w:val="001A2424"/>
    <w:rsid w:val="001A2B65"/>
    <w:rsid w:val="001A335E"/>
    <w:rsid w:val="001A3CD3"/>
    <w:rsid w:val="001A539D"/>
    <w:rsid w:val="001A54AE"/>
    <w:rsid w:val="001A5BEF"/>
    <w:rsid w:val="001A5CCC"/>
    <w:rsid w:val="001A7153"/>
    <w:rsid w:val="001A7F15"/>
    <w:rsid w:val="001B0937"/>
    <w:rsid w:val="001B342E"/>
    <w:rsid w:val="001B39EC"/>
    <w:rsid w:val="001B44A7"/>
    <w:rsid w:val="001B5F87"/>
    <w:rsid w:val="001C0140"/>
    <w:rsid w:val="001C067D"/>
    <w:rsid w:val="001C171D"/>
    <w:rsid w:val="001C1832"/>
    <w:rsid w:val="001C188C"/>
    <w:rsid w:val="001C25F8"/>
    <w:rsid w:val="001C3E71"/>
    <w:rsid w:val="001C4366"/>
    <w:rsid w:val="001C61E3"/>
    <w:rsid w:val="001D1783"/>
    <w:rsid w:val="001D53CD"/>
    <w:rsid w:val="001D55A3"/>
    <w:rsid w:val="001D5AF5"/>
    <w:rsid w:val="001D6349"/>
    <w:rsid w:val="001D6634"/>
    <w:rsid w:val="001D736F"/>
    <w:rsid w:val="001D7C60"/>
    <w:rsid w:val="001E1160"/>
    <w:rsid w:val="001E1E73"/>
    <w:rsid w:val="001E2A60"/>
    <w:rsid w:val="001E4443"/>
    <w:rsid w:val="001E4E0C"/>
    <w:rsid w:val="001E526D"/>
    <w:rsid w:val="001E5655"/>
    <w:rsid w:val="001F1465"/>
    <w:rsid w:val="001F1832"/>
    <w:rsid w:val="001F220F"/>
    <w:rsid w:val="001F25B3"/>
    <w:rsid w:val="001F2CA5"/>
    <w:rsid w:val="001F384B"/>
    <w:rsid w:val="001F4D37"/>
    <w:rsid w:val="001F6616"/>
    <w:rsid w:val="002009CB"/>
    <w:rsid w:val="0020237B"/>
    <w:rsid w:val="002029BE"/>
    <w:rsid w:val="00202BD4"/>
    <w:rsid w:val="00204A97"/>
    <w:rsid w:val="00204AEE"/>
    <w:rsid w:val="00205C6A"/>
    <w:rsid w:val="00207EB2"/>
    <w:rsid w:val="002114EF"/>
    <w:rsid w:val="002118DD"/>
    <w:rsid w:val="00215642"/>
    <w:rsid w:val="002166AD"/>
    <w:rsid w:val="002168C6"/>
    <w:rsid w:val="00217871"/>
    <w:rsid w:val="002178C3"/>
    <w:rsid w:val="00221ED8"/>
    <w:rsid w:val="00222466"/>
    <w:rsid w:val="002227B5"/>
    <w:rsid w:val="002231EA"/>
    <w:rsid w:val="00223FDF"/>
    <w:rsid w:val="00224BB9"/>
    <w:rsid w:val="00225724"/>
    <w:rsid w:val="0022656F"/>
    <w:rsid w:val="00227184"/>
    <w:rsid w:val="002279C0"/>
    <w:rsid w:val="00234415"/>
    <w:rsid w:val="002361F9"/>
    <w:rsid w:val="0023727E"/>
    <w:rsid w:val="00242081"/>
    <w:rsid w:val="002421EB"/>
    <w:rsid w:val="00242BE6"/>
    <w:rsid w:val="00243777"/>
    <w:rsid w:val="002441CD"/>
    <w:rsid w:val="002472FD"/>
    <w:rsid w:val="002501A3"/>
    <w:rsid w:val="0025029E"/>
    <w:rsid w:val="00250C98"/>
    <w:rsid w:val="0025166C"/>
    <w:rsid w:val="00252753"/>
    <w:rsid w:val="00253761"/>
    <w:rsid w:val="00254E05"/>
    <w:rsid w:val="002555D4"/>
    <w:rsid w:val="00260057"/>
    <w:rsid w:val="00260287"/>
    <w:rsid w:val="00261455"/>
    <w:rsid w:val="00261A16"/>
    <w:rsid w:val="002633ED"/>
    <w:rsid w:val="00263522"/>
    <w:rsid w:val="0026372D"/>
    <w:rsid w:val="00264EC6"/>
    <w:rsid w:val="00267488"/>
    <w:rsid w:val="00271013"/>
    <w:rsid w:val="002714DA"/>
    <w:rsid w:val="0027359C"/>
    <w:rsid w:val="00273BCD"/>
    <w:rsid w:val="00273FE4"/>
    <w:rsid w:val="002765B4"/>
    <w:rsid w:val="00276A94"/>
    <w:rsid w:val="00277C6F"/>
    <w:rsid w:val="0028226B"/>
    <w:rsid w:val="0028627A"/>
    <w:rsid w:val="002866FE"/>
    <w:rsid w:val="0028731E"/>
    <w:rsid w:val="00290833"/>
    <w:rsid w:val="00290F54"/>
    <w:rsid w:val="002932D7"/>
    <w:rsid w:val="0029405D"/>
    <w:rsid w:val="00294FA6"/>
    <w:rsid w:val="00295A6F"/>
    <w:rsid w:val="002965AC"/>
    <w:rsid w:val="0029723E"/>
    <w:rsid w:val="00297592"/>
    <w:rsid w:val="002A00FC"/>
    <w:rsid w:val="002A0B04"/>
    <w:rsid w:val="002A20C4"/>
    <w:rsid w:val="002A3035"/>
    <w:rsid w:val="002A43A0"/>
    <w:rsid w:val="002A570F"/>
    <w:rsid w:val="002A69E0"/>
    <w:rsid w:val="002A6E1F"/>
    <w:rsid w:val="002A7292"/>
    <w:rsid w:val="002A7358"/>
    <w:rsid w:val="002A7902"/>
    <w:rsid w:val="002B0F6B"/>
    <w:rsid w:val="002B187B"/>
    <w:rsid w:val="002B2249"/>
    <w:rsid w:val="002B23B8"/>
    <w:rsid w:val="002B4429"/>
    <w:rsid w:val="002B5644"/>
    <w:rsid w:val="002B60DE"/>
    <w:rsid w:val="002B68A6"/>
    <w:rsid w:val="002B7FAF"/>
    <w:rsid w:val="002C294D"/>
    <w:rsid w:val="002C6249"/>
    <w:rsid w:val="002C6363"/>
    <w:rsid w:val="002C6FAA"/>
    <w:rsid w:val="002C73AA"/>
    <w:rsid w:val="002D0C4F"/>
    <w:rsid w:val="002D1364"/>
    <w:rsid w:val="002D358F"/>
    <w:rsid w:val="002D3C6A"/>
    <w:rsid w:val="002D3FC5"/>
    <w:rsid w:val="002D4D30"/>
    <w:rsid w:val="002D5000"/>
    <w:rsid w:val="002D598D"/>
    <w:rsid w:val="002D652E"/>
    <w:rsid w:val="002D7188"/>
    <w:rsid w:val="002E1DE3"/>
    <w:rsid w:val="002E27CF"/>
    <w:rsid w:val="002E2AB6"/>
    <w:rsid w:val="002E3A7E"/>
    <w:rsid w:val="002E3F34"/>
    <w:rsid w:val="002E56BB"/>
    <w:rsid w:val="002E5F79"/>
    <w:rsid w:val="002E64FA"/>
    <w:rsid w:val="002E7269"/>
    <w:rsid w:val="002F0A00"/>
    <w:rsid w:val="002F0CFA"/>
    <w:rsid w:val="002F5B1F"/>
    <w:rsid w:val="002F61EC"/>
    <w:rsid w:val="002F669F"/>
    <w:rsid w:val="00301BFE"/>
    <w:rsid w:val="00301C97"/>
    <w:rsid w:val="0031004C"/>
    <w:rsid w:val="003105F6"/>
    <w:rsid w:val="00311297"/>
    <w:rsid w:val="003112CA"/>
    <w:rsid w:val="003113BE"/>
    <w:rsid w:val="003114D1"/>
    <w:rsid w:val="00311DE8"/>
    <w:rsid w:val="003122CA"/>
    <w:rsid w:val="003148FD"/>
    <w:rsid w:val="00317076"/>
    <w:rsid w:val="00321080"/>
    <w:rsid w:val="00322D45"/>
    <w:rsid w:val="003248CD"/>
    <w:rsid w:val="0032569A"/>
    <w:rsid w:val="00325A1F"/>
    <w:rsid w:val="003265D1"/>
    <w:rsid w:val="003268F9"/>
    <w:rsid w:val="00327F37"/>
    <w:rsid w:val="00330BAF"/>
    <w:rsid w:val="003328FE"/>
    <w:rsid w:val="003333FE"/>
    <w:rsid w:val="00334E3A"/>
    <w:rsid w:val="003361DD"/>
    <w:rsid w:val="00341610"/>
    <w:rsid w:val="00341A6A"/>
    <w:rsid w:val="00345B9C"/>
    <w:rsid w:val="00346AAE"/>
    <w:rsid w:val="003500FB"/>
    <w:rsid w:val="00352DA9"/>
    <w:rsid w:val="00352DAE"/>
    <w:rsid w:val="00354EB9"/>
    <w:rsid w:val="00355C1B"/>
    <w:rsid w:val="00356BEF"/>
    <w:rsid w:val="003602AE"/>
    <w:rsid w:val="003608B4"/>
    <w:rsid w:val="00360929"/>
    <w:rsid w:val="00360975"/>
    <w:rsid w:val="00360BD0"/>
    <w:rsid w:val="0036133F"/>
    <w:rsid w:val="003647D5"/>
    <w:rsid w:val="003669A7"/>
    <w:rsid w:val="00366ED2"/>
    <w:rsid w:val="00367385"/>
    <w:rsid w:val="003674B0"/>
    <w:rsid w:val="003703A3"/>
    <w:rsid w:val="0037248E"/>
    <w:rsid w:val="00374D3A"/>
    <w:rsid w:val="003761B3"/>
    <w:rsid w:val="0037727C"/>
    <w:rsid w:val="00377E70"/>
    <w:rsid w:val="00380904"/>
    <w:rsid w:val="00381215"/>
    <w:rsid w:val="003823EE"/>
    <w:rsid w:val="00382960"/>
    <w:rsid w:val="00383B84"/>
    <w:rsid w:val="003846F7"/>
    <w:rsid w:val="003851ED"/>
    <w:rsid w:val="00385B39"/>
    <w:rsid w:val="00386785"/>
    <w:rsid w:val="0039085A"/>
    <w:rsid w:val="00390E89"/>
    <w:rsid w:val="00391759"/>
    <w:rsid w:val="00391B1A"/>
    <w:rsid w:val="003936F9"/>
    <w:rsid w:val="00394423"/>
    <w:rsid w:val="00394F51"/>
    <w:rsid w:val="00396466"/>
    <w:rsid w:val="00396942"/>
    <w:rsid w:val="00396B49"/>
    <w:rsid w:val="00396E3E"/>
    <w:rsid w:val="003A306E"/>
    <w:rsid w:val="003A5A11"/>
    <w:rsid w:val="003A60DC"/>
    <w:rsid w:val="003A61B0"/>
    <w:rsid w:val="003A6A46"/>
    <w:rsid w:val="003A7A63"/>
    <w:rsid w:val="003B000C"/>
    <w:rsid w:val="003B085B"/>
    <w:rsid w:val="003B0D3A"/>
    <w:rsid w:val="003B0F1D"/>
    <w:rsid w:val="003B4A57"/>
    <w:rsid w:val="003B693A"/>
    <w:rsid w:val="003B6CF4"/>
    <w:rsid w:val="003B78BF"/>
    <w:rsid w:val="003C0AD9"/>
    <w:rsid w:val="003C0ED0"/>
    <w:rsid w:val="003C18DB"/>
    <w:rsid w:val="003C1D49"/>
    <w:rsid w:val="003C35C4"/>
    <w:rsid w:val="003C394C"/>
    <w:rsid w:val="003C4C7E"/>
    <w:rsid w:val="003C6A7F"/>
    <w:rsid w:val="003D12C2"/>
    <w:rsid w:val="003D1CD0"/>
    <w:rsid w:val="003D31B9"/>
    <w:rsid w:val="003D3867"/>
    <w:rsid w:val="003D3C34"/>
    <w:rsid w:val="003D6618"/>
    <w:rsid w:val="003E00E7"/>
    <w:rsid w:val="003E0C33"/>
    <w:rsid w:val="003E0D1A"/>
    <w:rsid w:val="003E2DA3"/>
    <w:rsid w:val="003E737D"/>
    <w:rsid w:val="003E760C"/>
    <w:rsid w:val="003E7F85"/>
    <w:rsid w:val="003F020D"/>
    <w:rsid w:val="003F03D9"/>
    <w:rsid w:val="003F0913"/>
    <w:rsid w:val="003F25F6"/>
    <w:rsid w:val="003F2FBE"/>
    <w:rsid w:val="003F318D"/>
    <w:rsid w:val="003F343A"/>
    <w:rsid w:val="003F3502"/>
    <w:rsid w:val="003F56DB"/>
    <w:rsid w:val="003F5BAE"/>
    <w:rsid w:val="003F666A"/>
    <w:rsid w:val="003F6ED7"/>
    <w:rsid w:val="003F719B"/>
    <w:rsid w:val="003F7E28"/>
    <w:rsid w:val="004006B0"/>
    <w:rsid w:val="00401BDB"/>
    <w:rsid w:val="00401C84"/>
    <w:rsid w:val="00403210"/>
    <w:rsid w:val="004034D5"/>
    <w:rsid w:val="004035BB"/>
    <w:rsid w:val="004035EB"/>
    <w:rsid w:val="00404600"/>
    <w:rsid w:val="00407332"/>
    <w:rsid w:val="00407828"/>
    <w:rsid w:val="00407A51"/>
    <w:rsid w:val="00413D8E"/>
    <w:rsid w:val="004140F2"/>
    <w:rsid w:val="004144BC"/>
    <w:rsid w:val="004165B0"/>
    <w:rsid w:val="00417B22"/>
    <w:rsid w:val="00417BD5"/>
    <w:rsid w:val="004206C6"/>
    <w:rsid w:val="00421085"/>
    <w:rsid w:val="0042465E"/>
    <w:rsid w:val="00424DF7"/>
    <w:rsid w:val="004265EB"/>
    <w:rsid w:val="004309D4"/>
    <w:rsid w:val="00432B76"/>
    <w:rsid w:val="00434AA5"/>
    <w:rsid w:val="00434D01"/>
    <w:rsid w:val="00435D26"/>
    <w:rsid w:val="00440C99"/>
    <w:rsid w:val="0044155A"/>
    <w:rsid w:val="0044175C"/>
    <w:rsid w:val="00443171"/>
    <w:rsid w:val="00444967"/>
    <w:rsid w:val="00445F4D"/>
    <w:rsid w:val="004504C0"/>
    <w:rsid w:val="0045072E"/>
    <w:rsid w:val="00450BBC"/>
    <w:rsid w:val="004550FB"/>
    <w:rsid w:val="00456F9D"/>
    <w:rsid w:val="0046111A"/>
    <w:rsid w:val="004616F8"/>
    <w:rsid w:val="00462946"/>
    <w:rsid w:val="00463F43"/>
    <w:rsid w:val="00464B94"/>
    <w:rsid w:val="004653A8"/>
    <w:rsid w:val="00465A0B"/>
    <w:rsid w:val="0047077C"/>
    <w:rsid w:val="00470B05"/>
    <w:rsid w:val="0047207C"/>
    <w:rsid w:val="00472CD6"/>
    <w:rsid w:val="00473093"/>
    <w:rsid w:val="00474E3C"/>
    <w:rsid w:val="004761E2"/>
    <w:rsid w:val="00480A58"/>
    <w:rsid w:val="00482151"/>
    <w:rsid w:val="004840CC"/>
    <w:rsid w:val="00485FAD"/>
    <w:rsid w:val="00486A72"/>
    <w:rsid w:val="00487AED"/>
    <w:rsid w:val="004908F3"/>
    <w:rsid w:val="004918EC"/>
    <w:rsid w:val="00491EDF"/>
    <w:rsid w:val="00492A3F"/>
    <w:rsid w:val="00492CB6"/>
    <w:rsid w:val="004937AA"/>
    <w:rsid w:val="00494F62"/>
    <w:rsid w:val="00496873"/>
    <w:rsid w:val="004968AC"/>
    <w:rsid w:val="004971EC"/>
    <w:rsid w:val="004A03B3"/>
    <w:rsid w:val="004A2001"/>
    <w:rsid w:val="004A2E9B"/>
    <w:rsid w:val="004A3590"/>
    <w:rsid w:val="004A3854"/>
    <w:rsid w:val="004A4D78"/>
    <w:rsid w:val="004A5F27"/>
    <w:rsid w:val="004A7447"/>
    <w:rsid w:val="004A7771"/>
    <w:rsid w:val="004B00A7"/>
    <w:rsid w:val="004B25E2"/>
    <w:rsid w:val="004B32CE"/>
    <w:rsid w:val="004B34D7"/>
    <w:rsid w:val="004B3F82"/>
    <w:rsid w:val="004B49C5"/>
    <w:rsid w:val="004B5037"/>
    <w:rsid w:val="004B5B2F"/>
    <w:rsid w:val="004B626A"/>
    <w:rsid w:val="004B660E"/>
    <w:rsid w:val="004B705F"/>
    <w:rsid w:val="004C05BD"/>
    <w:rsid w:val="004C2AD0"/>
    <w:rsid w:val="004C3B06"/>
    <w:rsid w:val="004C3F97"/>
    <w:rsid w:val="004C4AB4"/>
    <w:rsid w:val="004C70AA"/>
    <w:rsid w:val="004C7E55"/>
    <w:rsid w:val="004C7EE7"/>
    <w:rsid w:val="004D083E"/>
    <w:rsid w:val="004D2DA7"/>
    <w:rsid w:val="004D2DEE"/>
    <w:rsid w:val="004D2E1F"/>
    <w:rsid w:val="004D6E6B"/>
    <w:rsid w:val="004D6F0E"/>
    <w:rsid w:val="004D70BF"/>
    <w:rsid w:val="004D7FD9"/>
    <w:rsid w:val="004E0F02"/>
    <w:rsid w:val="004E1324"/>
    <w:rsid w:val="004E19A5"/>
    <w:rsid w:val="004E2B1F"/>
    <w:rsid w:val="004E37E5"/>
    <w:rsid w:val="004E3FDB"/>
    <w:rsid w:val="004F09D9"/>
    <w:rsid w:val="004F1F4A"/>
    <w:rsid w:val="004F2313"/>
    <w:rsid w:val="004F296D"/>
    <w:rsid w:val="004F508B"/>
    <w:rsid w:val="004F695F"/>
    <w:rsid w:val="004F6CA4"/>
    <w:rsid w:val="00500752"/>
    <w:rsid w:val="00501A50"/>
    <w:rsid w:val="00501B0F"/>
    <w:rsid w:val="0050222D"/>
    <w:rsid w:val="00502F1F"/>
    <w:rsid w:val="00503157"/>
    <w:rsid w:val="0050342B"/>
    <w:rsid w:val="00503AF3"/>
    <w:rsid w:val="0050696D"/>
    <w:rsid w:val="0051094B"/>
    <w:rsid w:val="00510E3C"/>
    <w:rsid w:val="005110D7"/>
    <w:rsid w:val="00511D99"/>
    <w:rsid w:val="005128D3"/>
    <w:rsid w:val="005147E8"/>
    <w:rsid w:val="005158DF"/>
    <w:rsid w:val="005158F2"/>
    <w:rsid w:val="0052071F"/>
    <w:rsid w:val="005212CF"/>
    <w:rsid w:val="005217FD"/>
    <w:rsid w:val="00526DFC"/>
    <w:rsid w:val="00526F43"/>
    <w:rsid w:val="00527651"/>
    <w:rsid w:val="00527FCE"/>
    <w:rsid w:val="00533CEA"/>
    <w:rsid w:val="005363AB"/>
    <w:rsid w:val="00542012"/>
    <w:rsid w:val="005425BF"/>
    <w:rsid w:val="00544EF4"/>
    <w:rsid w:val="00545B70"/>
    <w:rsid w:val="00545E53"/>
    <w:rsid w:val="0054701D"/>
    <w:rsid w:val="00547521"/>
    <w:rsid w:val="005479D9"/>
    <w:rsid w:val="00552219"/>
    <w:rsid w:val="00552726"/>
    <w:rsid w:val="00552784"/>
    <w:rsid w:val="00553423"/>
    <w:rsid w:val="0055353F"/>
    <w:rsid w:val="005546E5"/>
    <w:rsid w:val="005550AE"/>
    <w:rsid w:val="00555922"/>
    <w:rsid w:val="00556155"/>
    <w:rsid w:val="005572BD"/>
    <w:rsid w:val="00557A12"/>
    <w:rsid w:val="00560AC7"/>
    <w:rsid w:val="00561AFB"/>
    <w:rsid w:val="00561FA8"/>
    <w:rsid w:val="005635ED"/>
    <w:rsid w:val="00565253"/>
    <w:rsid w:val="00567D47"/>
    <w:rsid w:val="00570191"/>
    <w:rsid w:val="00570570"/>
    <w:rsid w:val="00571162"/>
    <w:rsid w:val="00571589"/>
    <w:rsid w:val="00572512"/>
    <w:rsid w:val="00573EE6"/>
    <w:rsid w:val="005741D6"/>
    <w:rsid w:val="0057547F"/>
    <w:rsid w:val="005754EE"/>
    <w:rsid w:val="00575974"/>
    <w:rsid w:val="0057617E"/>
    <w:rsid w:val="00576497"/>
    <w:rsid w:val="00580369"/>
    <w:rsid w:val="00581F44"/>
    <w:rsid w:val="0058299B"/>
    <w:rsid w:val="005835E7"/>
    <w:rsid w:val="0058397F"/>
    <w:rsid w:val="00583BF8"/>
    <w:rsid w:val="00584B45"/>
    <w:rsid w:val="00584FC1"/>
    <w:rsid w:val="00585F33"/>
    <w:rsid w:val="005864E2"/>
    <w:rsid w:val="00591124"/>
    <w:rsid w:val="00592248"/>
    <w:rsid w:val="00594983"/>
    <w:rsid w:val="00596BDF"/>
    <w:rsid w:val="00597024"/>
    <w:rsid w:val="00597D51"/>
    <w:rsid w:val="005A0274"/>
    <w:rsid w:val="005A095C"/>
    <w:rsid w:val="005A11BE"/>
    <w:rsid w:val="005A14E2"/>
    <w:rsid w:val="005A5FC0"/>
    <w:rsid w:val="005A669D"/>
    <w:rsid w:val="005A75D8"/>
    <w:rsid w:val="005A7699"/>
    <w:rsid w:val="005B2CD0"/>
    <w:rsid w:val="005B55EE"/>
    <w:rsid w:val="005B713E"/>
    <w:rsid w:val="005B7655"/>
    <w:rsid w:val="005C03B6"/>
    <w:rsid w:val="005C0830"/>
    <w:rsid w:val="005C1A0B"/>
    <w:rsid w:val="005C2139"/>
    <w:rsid w:val="005C348E"/>
    <w:rsid w:val="005C4C88"/>
    <w:rsid w:val="005C68E1"/>
    <w:rsid w:val="005D0321"/>
    <w:rsid w:val="005D0C75"/>
    <w:rsid w:val="005D1600"/>
    <w:rsid w:val="005D1E55"/>
    <w:rsid w:val="005D3763"/>
    <w:rsid w:val="005D55E1"/>
    <w:rsid w:val="005E19F7"/>
    <w:rsid w:val="005E4CB2"/>
    <w:rsid w:val="005E4F04"/>
    <w:rsid w:val="005E571A"/>
    <w:rsid w:val="005E5AE6"/>
    <w:rsid w:val="005E62C2"/>
    <w:rsid w:val="005E6C71"/>
    <w:rsid w:val="005F0963"/>
    <w:rsid w:val="005F19A0"/>
    <w:rsid w:val="005F1EFB"/>
    <w:rsid w:val="005F2144"/>
    <w:rsid w:val="005F2824"/>
    <w:rsid w:val="005F2EBA"/>
    <w:rsid w:val="005F35ED"/>
    <w:rsid w:val="005F50E2"/>
    <w:rsid w:val="005F71E2"/>
    <w:rsid w:val="005F7812"/>
    <w:rsid w:val="005F7A88"/>
    <w:rsid w:val="00602BD2"/>
    <w:rsid w:val="00603A1A"/>
    <w:rsid w:val="006046D5"/>
    <w:rsid w:val="00604992"/>
    <w:rsid w:val="00604E34"/>
    <w:rsid w:val="00607A93"/>
    <w:rsid w:val="0061027E"/>
    <w:rsid w:val="00610C08"/>
    <w:rsid w:val="006111E5"/>
    <w:rsid w:val="00611F74"/>
    <w:rsid w:val="00612BDD"/>
    <w:rsid w:val="006135CF"/>
    <w:rsid w:val="00615772"/>
    <w:rsid w:val="00615A70"/>
    <w:rsid w:val="00617436"/>
    <w:rsid w:val="00620EAC"/>
    <w:rsid w:val="00621256"/>
    <w:rsid w:val="00621FCC"/>
    <w:rsid w:val="006227D3"/>
    <w:rsid w:val="00622E4B"/>
    <w:rsid w:val="00623341"/>
    <w:rsid w:val="0062365F"/>
    <w:rsid w:val="00623948"/>
    <w:rsid w:val="00625727"/>
    <w:rsid w:val="006322F1"/>
    <w:rsid w:val="00632386"/>
    <w:rsid w:val="006333DA"/>
    <w:rsid w:val="00633765"/>
    <w:rsid w:val="00633AF9"/>
    <w:rsid w:val="00635134"/>
    <w:rsid w:val="006356E2"/>
    <w:rsid w:val="00635C0A"/>
    <w:rsid w:val="006379FA"/>
    <w:rsid w:val="0064180D"/>
    <w:rsid w:val="00642A65"/>
    <w:rsid w:val="006431AE"/>
    <w:rsid w:val="00643FE4"/>
    <w:rsid w:val="0064538B"/>
    <w:rsid w:val="00645DCE"/>
    <w:rsid w:val="00646498"/>
    <w:rsid w:val="006465AC"/>
    <w:rsid w:val="006465BF"/>
    <w:rsid w:val="00650434"/>
    <w:rsid w:val="00651CD1"/>
    <w:rsid w:val="00651D38"/>
    <w:rsid w:val="00653B22"/>
    <w:rsid w:val="00656E04"/>
    <w:rsid w:val="00657252"/>
    <w:rsid w:val="00657BF4"/>
    <w:rsid w:val="0066039D"/>
    <w:rsid w:val="006603FB"/>
    <w:rsid w:val="006604CC"/>
    <w:rsid w:val="006608DF"/>
    <w:rsid w:val="006623AC"/>
    <w:rsid w:val="00662653"/>
    <w:rsid w:val="00662B49"/>
    <w:rsid w:val="00662B83"/>
    <w:rsid w:val="006650E4"/>
    <w:rsid w:val="006653AE"/>
    <w:rsid w:val="006654CB"/>
    <w:rsid w:val="006668D8"/>
    <w:rsid w:val="00666B5A"/>
    <w:rsid w:val="00667220"/>
    <w:rsid w:val="006674B4"/>
    <w:rsid w:val="006678AF"/>
    <w:rsid w:val="006701EF"/>
    <w:rsid w:val="00673BA5"/>
    <w:rsid w:val="00673DAE"/>
    <w:rsid w:val="00674889"/>
    <w:rsid w:val="00674AE0"/>
    <w:rsid w:val="00676E06"/>
    <w:rsid w:val="00680058"/>
    <w:rsid w:val="00681F9F"/>
    <w:rsid w:val="00683209"/>
    <w:rsid w:val="006840EA"/>
    <w:rsid w:val="006844E2"/>
    <w:rsid w:val="00685267"/>
    <w:rsid w:val="00685C12"/>
    <w:rsid w:val="00687090"/>
    <w:rsid w:val="006872AE"/>
    <w:rsid w:val="00690082"/>
    <w:rsid w:val="00690252"/>
    <w:rsid w:val="006922A9"/>
    <w:rsid w:val="006946BB"/>
    <w:rsid w:val="0069587D"/>
    <w:rsid w:val="006967A1"/>
    <w:rsid w:val="006969FA"/>
    <w:rsid w:val="00697F09"/>
    <w:rsid w:val="006A03F8"/>
    <w:rsid w:val="006A35D5"/>
    <w:rsid w:val="006A491B"/>
    <w:rsid w:val="006A5213"/>
    <w:rsid w:val="006A748A"/>
    <w:rsid w:val="006B4013"/>
    <w:rsid w:val="006B42B4"/>
    <w:rsid w:val="006B4424"/>
    <w:rsid w:val="006B59DF"/>
    <w:rsid w:val="006B733E"/>
    <w:rsid w:val="006C1918"/>
    <w:rsid w:val="006C419E"/>
    <w:rsid w:val="006C4A31"/>
    <w:rsid w:val="006C4FF4"/>
    <w:rsid w:val="006C5AC2"/>
    <w:rsid w:val="006C5E8A"/>
    <w:rsid w:val="006C6185"/>
    <w:rsid w:val="006C6AFB"/>
    <w:rsid w:val="006D2735"/>
    <w:rsid w:val="006D27AA"/>
    <w:rsid w:val="006D45B2"/>
    <w:rsid w:val="006D5F5C"/>
    <w:rsid w:val="006D6088"/>
    <w:rsid w:val="006D76CE"/>
    <w:rsid w:val="006E0A3E"/>
    <w:rsid w:val="006E0FCC"/>
    <w:rsid w:val="006E1E96"/>
    <w:rsid w:val="006E5E21"/>
    <w:rsid w:val="006F1EE3"/>
    <w:rsid w:val="006F2648"/>
    <w:rsid w:val="006F2F10"/>
    <w:rsid w:val="006F34DD"/>
    <w:rsid w:val="006F482B"/>
    <w:rsid w:val="006F6311"/>
    <w:rsid w:val="006F66B8"/>
    <w:rsid w:val="006F7E5B"/>
    <w:rsid w:val="00700740"/>
    <w:rsid w:val="00701952"/>
    <w:rsid w:val="00702556"/>
    <w:rsid w:val="0070277E"/>
    <w:rsid w:val="00703301"/>
    <w:rsid w:val="00704156"/>
    <w:rsid w:val="007069FC"/>
    <w:rsid w:val="00707A4A"/>
    <w:rsid w:val="00707D22"/>
    <w:rsid w:val="0071037E"/>
    <w:rsid w:val="00711221"/>
    <w:rsid w:val="0071153C"/>
    <w:rsid w:val="007124EB"/>
    <w:rsid w:val="00712675"/>
    <w:rsid w:val="00713808"/>
    <w:rsid w:val="00713824"/>
    <w:rsid w:val="007151B6"/>
    <w:rsid w:val="0071520D"/>
    <w:rsid w:val="00715EDB"/>
    <w:rsid w:val="007160D5"/>
    <w:rsid w:val="007163FB"/>
    <w:rsid w:val="00716DAE"/>
    <w:rsid w:val="007172CB"/>
    <w:rsid w:val="007178A8"/>
    <w:rsid w:val="00717C2E"/>
    <w:rsid w:val="007204FA"/>
    <w:rsid w:val="007213B3"/>
    <w:rsid w:val="00722D93"/>
    <w:rsid w:val="0072457F"/>
    <w:rsid w:val="00725406"/>
    <w:rsid w:val="007256C2"/>
    <w:rsid w:val="00725D1D"/>
    <w:rsid w:val="0072621B"/>
    <w:rsid w:val="00730555"/>
    <w:rsid w:val="007312CC"/>
    <w:rsid w:val="00731518"/>
    <w:rsid w:val="0073299A"/>
    <w:rsid w:val="00734A73"/>
    <w:rsid w:val="00736A64"/>
    <w:rsid w:val="00737F6A"/>
    <w:rsid w:val="00740529"/>
    <w:rsid w:val="007410B6"/>
    <w:rsid w:val="00744C6F"/>
    <w:rsid w:val="007457F6"/>
    <w:rsid w:val="00745ABB"/>
    <w:rsid w:val="00746E38"/>
    <w:rsid w:val="00747CD5"/>
    <w:rsid w:val="007510E9"/>
    <w:rsid w:val="00752D89"/>
    <w:rsid w:val="00753651"/>
    <w:rsid w:val="00753B51"/>
    <w:rsid w:val="00756629"/>
    <w:rsid w:val="007575D2"/>
    <w:rsid w:val="00757B4F"/>
    <w:rsid w:val="00757B6A"/>
    <w:rsid w:val="007610E0"/>
    <w:rsid w:val="007620DA"/>
    <w:rsid w:val="007621AA"/>
    <w:rsid w:val="00762288"/>
    <w:rsid w:val="007622D0"/>
    <w:rsid w:val="0076260A"/>
    <w:rsid w:val="007629C3"/>
    <w:rsid w:val="00764830"/>
    <w:rsid w:val="00764A67"/>
    <w:rsid w:val="00764C1D"/>
    <w:rsid w:val="00764FA5"/>
    <w:rsid w:val="00767A3A"/>
    <w:rsid w:val="00770F6B"/>
    <w:rsid w:val="00771108"/>
    <w:rsid w:val="00771698"/>
    <w:rsid w:val="00771883"/>
    <w:rsid w:val="007755B0"/>
    <w:rsid w:val="00776DC2"/>
    <w:rsid w:val="00777BB1"/>
    <w:rsid w:val="00780122"/>
    <w:rsid w:val="0078214B"/>
    <w:rsid w:val="0078259B"/>
    <w:rsid w:val="0078498A"/>
    <w:rsid w:val="007878FE"/>
    <w:rsid w:val="00790D59"/>
    <w:rsid w:val="007911D0"/>
    <w:rsid w:val="00792207"/>
    <w:rsid w:val="00792B64"/>
    <w:rsid w:val="00792E29"/>
    <w:rsid w:val="0079379A"/>
    <w:rsid w:val="00794953"/>
    <w:rsid w:val="00797C72"/>
    <w:rsid w:val="007A1F2F"/>
    <w:rsid w:val="007A2A5C"/>
    <w:rsid w:val="007A5150"/>
    <w:rsid w:val="007A5373"/>
    <w:rsid w:val="007A571D"/>
    <w:rsid w:val="007A789F"/>
    <w:rsid w:val="007B0F53"/>
    <w:rsid w:val="007B1558"/>
    <w:rsid w:val="007B4C56"/>
    <w:rsid w:val="007B75BC"/>
    <w:rsid w:val="007B7C1D"/>
    <w:rsid w:val="007C0BD6"/>
    <w:rsid w:val="007C0EBB"/>
    <w:rsid w:val="007C3806"/>
    <w:rsid w:val="007C5BB7"/>
    <w:rsid w:val="007D07D5"/>
    <w:rsid w:val="007D1C64"/>
    <w:rsid w:val="007D32DD"/>
    <w:rsid w:val="007D5C89"/>
    <w:rsid w:val="007D659D"/>
    <w:rsid w:val="007D6DCE"/>
    <w:rsid w:val="007D72C4"/>
    <w:rsid w:val="007D75DD"/>
    <w:rsid w:val="007E2CFE"/>
    <w:rsid w:val="007E59C9"/>
    <w:rsid w:val="007E6AF4"/>
    <w:rsid w:val="007F0072"/>
    <w:rsid w:val="007F1555"/>
    <w:rsid w:val="007F2EB6"/>
    <w:rsid w:val="007F402B"/>
    <w:rsid w:val="007F54C3"/>
    <w:rsid w:val="00800D24"/>
    <w:rsid w:val="00801C4F"/>
    <w:rsid w:val="00802949"/>
    <w:rsid w:val="0080301E"/>
    <w:rsid w:val="0080365F"/>
    <w:rsid w:val="00803AD2"/>
    <w:rsid w:val="00804C4B"/>
    <w:rsid w:val="00811E7C"/>
    <w:rsid w:val="00812790"/>
    <w:rsid w:val="00812A38"/>
    <w:rsid w:val="00812BE5"/>
    <w:rsid w:val="00812D86"/>
    <w:rsid w:val="008145C2"/>
    <w:rsid w:val="00814645"/>
    <w:rsid w:val="00815746"/>
    <w:rsid w:val="00817429"/>
    <w:rsid w:val="0082058E"/>
    <w:rsid w:val="00821514"/>
    <w:rsid w:val="00821E35"/>
    <w:rsid w:val="00821EE3"/>
    <w:rsid w:val="008233F3"/>
    <w:rsid w:val="00823DBC"/>
    <w:rsid w:val="00824591"/>
    <w:rsid w:val="008248D0"/>
    <w:rsid w:val="00824AED"/>
    <w:rsid w:val="00827820"/>
    <w:rsid w:val="00831B8B"/>
    <w:rsid w:val="0083405D"/>
    <w:rsid w:val="008352D4"/>
    <w:rsid w:val="0083671F"/>
    <w:rsid w:val="00836DB9"/>
    <w:rsid w:val="00837C67"/>
    <w:rsid w:val="008415B0"/>
    <w:rsid w:val="00842028"/>
    <w:rsid w:val="008436B8"/>
    <w:rsid w:val="00843E6B"/>
    <w:rsid w:val="00843EBF"/>
    <w:rsid w:val="00844A4E"/>
    <w:rsid w:val="008460B6"/>
    <w:rsid w:val="00847424"/>
    <w:rsid w:val="0084755E"/>
    <w:rsid w:val="00847B80"/>
    <w:rsid w:val="00850ADB"/>
    <w:rsid w:val="00850C9D"/>
    <w:rsid w:val="00852B59"/>
    <w:rsid w:val="00856272"/>
    <w:rsid w:val="008563FF"/>
    <w:rsid w:val="00857408"/>
    <w:rsid w:val="0086018B"/>
    <w:rsid w:val="008611DD"/>
    <w:rsid w:val="0086150F"/>
    <w:rsid w:val="008620DE"/>
    <w:rsid w:val="00863707"/>
    <w:rsid w:val="00863F8F"/>
    <w:rsid w:val="00866867"/>
    <w:rsid w:val="00866E6F"/>
    <w:rsid w:val="008713EA"/>
    <w:rsid w:val="00872257"/>
    <w:rsid w:val="008735BF"/>
    <w:rsid w:val="008753E6"/>
    <w:rsid w:val="0087738C"/>
    <w:rsid w:val="008802AF"/>
    <w:rsid w:val="00881926"/>
    <w:rsid w:val="0088318F"/>
    <w:rsid w:val="0088331D"/>
    <w:rsid w:val="00884F50"/>
    <w:rsid w:val="008852B0"/>
    <w:rsid w:val="00885AE7"/>
    <w:rsid w:val="00886B60"/>
    <w:rsid w:val="00887889"/>
    <w:rsid w:val="008920FF"/>
    <w:rsid w:val="008926E8"/>
    <w:rsid w:val="00893E30"/>
    <w:rsid w:val="00894F19"/>
    <w:rsid w:val="00896A10"/>
    <w:rsid w:val="008971B5"/>
    <w:rsid w:val="008A05E1"/>
    <w:rsid w:val="008A54A9"/>
    <w:rsid w:val="008A5D26"/>
    <w:rsid w:val="008A6725"/>
    <w:rsid w:val="008A6B13"/>
    <w:rsid w:val="008A6D23"/>
    <w:rsid w:val="008A6ECB"/>
    <w:rsid w:val="008B0BF9"/>
    <w:rsid w:val="008B2866"/>
    <w:rsid w:val="008B2D12"/>
    <w:rsid w:val="008B2D4B"/>
    <w:rsid w:val="008B33E8"/>
    <w:rsid w:val="008B3859"/>
    <w:rsid w:val="008B436D"/>
    <w:rsid w:val="008B4E49"/>
    <w:rsid w:val="008B756B"/>
    <w:rsid w:val="008B7712"/>
    <w:rsid w:val="008B7B26"/>
    <w:rsid w:val="008C209E"/>
    <w:rsid w:val="008C2277"/>
    <w:rsid w:val="008C3524"/>
    <w:rsid w:val="008C36EC"/>
    <w:rsid w:val="008C4061"/>
    <w:rsid w:val="008C4229"/>
    <w:rsid w:val="008C4E67"/>
    <w:rsid w:val="008C5BE0"/>
    <w:rsid w:val="008C5ED1"/>
    <w:rsid w:val="008C7233"/>
    <w:rsid w:val="008D0C88"/>
    <w:rsid w:val="008D220C"/>
    <w:rsid w:val="008D2434"/>
    <w:rsid w:val="008E171D"/>
    <w:rsid w:val="008E2074"/>
    <w:rsid w:val="008E2785"/>
    <w:rsid w:val="008E300A"/>
    <w:rsid w:val="008E78A3"/>
    <w:rsid w:val="008F0654"/>
    <w:rsid w:val="008F06CB"/>
    <w:rsid w:val="008F0D3C"/>
    <w:rsid w:val="008F2D48"/>
    <w:rsid w:val="008F2E83"/>
    <w:rsid w:val="008F612A"/>
    <w:rsid w:val="008F7608"/>
    <w:rsid w:val="0090293D"/>
    <w:rsid w:val="009034DE"/>
    <w:rsid w:val="00905396"/>
    <w:rsid w:val="0090605D"/>
    <w:rsid w:val="00906068"/>
    <w:rsid w:val="00906419"/>
    <w:rsid w:val="00906ADD"/>
    <w:rsid w:val="00906EB2"/>
    <w:rsid w:val="00912889"/>
    <w:rsid w:val="00913A42"/>
    <w:rsid w:val="00914167"/>
    <w:rsid w:val="009143DB"/>
    <w:rsid w:val="00915065"/>
    <w:rsid w:val="009170BA"/>
    <w:rsid w:val="00917CE5"/>
    <w:rsid w:val="00921136"/>
    <w:rsid w:val="009217C0"/>
    <w:rsid w:val="00921A9E"/>
    <w:rsid w:val="00921BCD"/>
    <w:rsid w:val="0092206F"/>
    <w:rsid w:val="00925241"/>
    <w:rsid w:val="00925CEC"/>
    <w:rsid w:val="00926A3F"/>
    <w:rsid w:val="0092794E"/>
    <w:rsid w:val="00930D30"/>
    <w:rsid w:val="009332A2"/>
    <w:rsid w:val="009346F9"/>
    <w:rsid w:val="00936295"/>
    <w:rsid w:val="00937598"/>
    <w:rsid w:val="009377FB"/>
    <w:rsid w:val="0093790B"/>
    <w:rsid w:val="0094051E"/>
    <w:rsid w:val="00943751"/>
    <w:rsid w:val="00946454"/>
    <w:rsid w:val="00946810"/>
    <w:rsid w:val="00946846"/>
    <w:rsid w:val="00946DD0"/>
    <w:rsid w:val="009509E6"/>
    <w:rsid w:val="00951CA5"/>
    <w:rsid w:val="00952018"/>
    <w:rsid w:val="009520C6"/>
    <w:rsid w:val="00952800"/>
    <w:rsid w:val="0095300D"/>
    <w:rsid w:val="009562AE"/>
    <w:rsid w:val="00956812"/>
    <w:rsid w:val="0095719A"/>
    <w:rsid w:val="009623E9"/>
    <w:rsid w:val="00963EEB"/>
    <w:rsid w:val="009648BC"/>
    <w:rsid w:val="00964C2F"/>
    <w:rsid w:val="00965027"/>
    <w:rsid w:val="00965700"/>
    <w:rsid w:val="00965F88"/>
    <w:rsid w:val="00966C24"/>
    <w:rsid w:val="00967351"/>
    <w:rsid w:val="009716A0"/>
    <w:rsid w:val="00972E5E"/>
    <w:rsid w:val="0097707F"/>
    <w:rsid w:val="00980F5C"/>
    <w:rsid w:val="009818E9"/>
    <w:rsid w:val="00981BFF"/>
    <w:rsid w:val="00982300"/>
    <w:rsid w:val="00984E03"/>
    <w:rsid w:val="009861F0"/>
    <w:rsid w:val="00987324"/>
    <w:rsid w:val="00987E85"/>
    <w:rsid w:val="009909D7"/>
    <w:rsid w:val="00992E28"/>
    <w:rsid w:val="009A0D0F"/>
    <w:rsid w:val="009A0D12"/>
    <w:rsid w:val="009A1987"/>
    <w:rsid w:val="009A228A"/>
    <w:rsid w:val="009A2BEE"/>
    <w:rsid w:val="009A2DE1"/>
    <w:rsid w:val="009A48E6"/>
    <w:rsid w:val="009A5289"/>
    <w:rsid w:val="009A7440"/>
    <w:rsid w:val="009A7A53"/>
    <w:rsid w:val="009B0402"/>
    <w:rsid w:val="009B0B75"/>
    <w:rsid w:val="009B16DF"/>
    <w:rsid w:val="009B2593"/>
    <w:rsid w:val="009B4C1B"/>
    <w:rsid w:val="009B4CB2"/>
    <w:rsid w:val="009B590F"/>
    <w:rsid w:val="009B6701"/>
    <w:rsid w:val="009B6EF7"/>
    <w:rsid w:val="009B7000"/>
    <w:rsid w:val="009B739C"/>
    <w:rsid w:val="009C04EC"/>
    <w:rsid w:val="009C328C"/>
    <w:rsid w:val="009C36FB"/>
    <w:rsid w:val="009C3D0D"/>
    <w:rsid w:val="009C4444"/>
    <w:rsid w:val="009C50D8"/>
    <w:rsid w:val="009C53C2"/>
    <w:rsid w:val="009C79AD"/>
    <w:rsid w:val="009C7A67"/>
    <w:rsid w:val="009C7CA6"/>
    <w:rsid w:val="009D2F21"/>
    <w:rsid w:val="009D3316"/>
    <w:rsid w:val="009D55AA"/>
    <w:rsid w:val="009D61A5"/>
    <w:rsid w:val="009D69F7"/>
    <w:rsid w:val="009D6DF0"/>
    <w:rsid w:val="009D7107"/>
    <w:rsid w:val="009E2396"/>
    <w:rsid w:val="009E3B54"/>
    <w:rsid w:val="009E3E56"/>
    <w:rsid w:val="009E3E77"/>
    <w:rsid w:val="009E3FAB"/>
    <w:rsid w:val="009E3FF2"/>
    <w:rsid w:val="009E4AF1"/>
    <w:rsid w:val="009E4C34"/>
    <w:rsid w:val="009E5051"/>
    <w:rsid w:val="009E5B3F"/>
    <w:rsid w:val="009E635A"/>
    <w:rsid w:val="009E7D90"/>
    <w:rsid w:val="009F10C7"/>
    <w:rsid w:val="009F1AB0"/>
    <w:rsid w:val="009F42B0"/>
    <w:rsid w:val="009F501D"/>
    <w:rsid w:val="009F5B9E"/>
    <w:rsid w:val="00A01766"/>
    <w:rsid w:val="00A024E4"/>
    <w:rsid w:val="00A0251C"/>
    <w:rsid w:val="00A039D5"/>
    <w:rsid w:val="00A03A7B"/>
    <w:rsid w:val="00A046AD"/>
    <w:rsid w:val="00A04FB4"/>
    <w:rsid w:val="00A065A3"/>
    <w:rsid w:val="00A079C1"/>
    <w:rsid w:val="00A12520"/>
    <w:rsid w:val="00A130FD"/>
    <w:rsid w:val="00A13D6D"/>
    <w:rsid w:val="00A14769"/>
    <w:rsid w:val="00A16151"/>
    <w:rsid w:val="00A16705"/>
    <w:rsid w:val="00A16EC6"/>
    <w:rsid w:val="00A17C06"/>
    <w:rsid w:val="00A2125D"/>
    <w:rsid w:val="00A2126E"/>
    <w:rsid w:val="00A21706"/>
    <w:rsid w:val="00A22687"/>
    <w:rsid w:val="00A24EEF"/>
    <w:rsid w:val="00A24FCC"/>
    <w:rsid w:val="00A26A90"/>
    <w:rsid w:val="00A26B27"/>
    <w:rsid w:val="00A26E0F"/>
    <w:rsid w:val="00A30638"/>
    <w:rsid w:val="00A307B0"/>
    <w:rsid w:val="00A30E4F"/>
    <w:rsid w:val="00A32253"/>
    <w:rsid w:val="00A32622"/>
    <w:rsid w:val="00A3310E"/>
    <w:rsid w:val="00A333A0"/>
    <w:rsid w:val="00A365E0"/>
    <w:rsid w:val="00A36DD9"/>
    <w:rsid w:val="00A36FCE"/>
    <w:rsid w:val="00A37E70"/>
    <w:rsid w:val="00A42682"/>
    <w:rsid w:val="00A437E1"/>
    <w:rsid w:val="00A43D98"/>
    <w:rsid w:val="00A44BDA"/>
    <w:rsid w:val="00A464FC"/>
    <w:rsid w:val="00A4685E"/>
    <w:rsid w:val="00A47AD2"/>
    <w:rsid w:val="00A50CD4"/>
    <w:rsid w:val="00A51191"/>
    <w:rsid w:val="00A519A9"/>
    <w:rsid w:val="00A552E8"/>
    <w:rsid w:val="00A56D62"/>
    <w:rsid w:val="00A56F07"/>
    <w:rsid w:val="00A5762C"/>
    <w:rsid w:val="00A600FC"/>
    <w:rsid w:val="00A60BCA"/>
    <w:rsid w:val="00A61B41"/>
    <w:rsid w:val="00A62D23"/>
    <w:rsid w:val="00A638DA"/>
    <w:rsid w:val="00A64533"/>
    <w:rsid w:val="00A654E9"/>
    <w:rsid w:val="00A65B41"/>
    <w:rsid w:val="00A65E00"/>
    <w:rsid w:val="00A66A78"/>
    <w:rsid w:val="00A67EE8"/>
    <w:rsid w:val="00A7069D"/>
    <w:rsid w:val="00A73D41"/>
    <w:rsid w:val="00A7436E"/>
    <w:rsid w:val="00A74E96"/>
    <w:rsid w:val="00A75A8E"/>
    <w:rsid w:val="00A7674E"/>
    <w:rsid w:val="00A76AEE"/>
    <w:rsid w:val="00A77C9D"/>
    <w:rsid w:val="00A824DD"/>
    <w:rsid w:val="00A82FAD"/>
    <w:rsid w:val="00A83676"/>
    <w:rsid w:val="00A83B7B"/>
    <w:rsid w:val="00A84274"/>
    <w:rsid w:val="00A84584"/>
    <w:rsid w:val="00A84A04"/>
    <w:rsid w:val="00A850F3"/>
    <w:rsid w:val="00A85508"/>
    <w:rsid w:val="00A864E3"/>
    <w:rsid w:val="00A878BF"/>
    <w:rsid w:val="00A90154"/>
    <w:rsid w:val="00A94574"/>
    <w:rsid w:val="00A94A95"/>
    <w:rsid w:val="00A95936"/>
    <w:rsid w:val="00A96265"/>
    <w:rsid w:val="00A96D4B"/>
    <w:rsid w:val="00A97084"/>
    <w:rsid w:val="00A977F5"/>
    <w:rsid w:val="00AA1C2C"/>
    <w:rsid w:val="00AA237F"/>
    <w:rsid w:val="00AA35F6"/>
    <w:rsid w:val="00AA45C6"/>
    <w:rsid w:val="00AA667C"/>
    <w:rsid w:val="00AA6E91"/>
    <w:rsid w:val="00AA7439"/>
    <w:rsid w:val="00AB047E"/>
    <w:rsid w:val="00AB0B0A"/>
    <w:rsid w:val="00AB0BB7"/>
    <w:rsid w:val="00AB0F4A"/>
    <w:rsid w:val="00AB22C6"/>
    <w:rsid w:val="00AB2AD0"/>
    <w:rsid w:val="00AB5D08"/>
    <w:rsid w:val="00AB6193"/>
    <w:rsid w:val="00AB67FC"/>
    <w:rsid w:val="00AC00F2"/>
    <w:rsid w:val="00AC31B5"/>
    <w:rsid w:val="00AC428D"/>
    <w:rsid w:val="00AC4EA1"/>
    <w:rsid w:val="00AC5381"/>
    <w:rsid w:val="00AC5920"/>
    <w:rsid w:val="00AC5F18"/>
    <w:rsid w:val="00AC69AB"/>
    <w:rsid w:val="00AD0E65"/>
    <w:rsid w:val="00AD16F9"/>
    <w:rsid w:val="00AD2BF2"/>
    <w:rsid w:val="00AD3BB3"/>
    <w:rsid w:val="00AD4CAB"/>
    <w:rsid w:val="00AD4E90"/>
    <w:rsid w:val="00AD53D4"/>
    <w:rsid w:val="00AD5422"/>
    <w:rsid w:val="00AD7073"/>
    <w:rsid w:val="00AE1AB1"/>
    <w:rsid w:val="00AE1C57"/>
    <w:rsid w:val="00AE31A0"/>
    <w:rsid w:val="00AE31E0"/>
    <w:rsid w:val="00AE4179"/>
    <w:rsid w:val="00AE4425"/>
    <w:rsid w:val="00AE4FBE"/>
    <w:rsid w:val="00AE6170"/>
    <w:rsid w:val="00AE650F"/>
    <w:rsid w:val="00AE6555"/>
    <w:rsid w:val="00AE7D16"/>
    <w:rsid w:val="00AF1179"/>
    <w:rsid w:val="00AF266A"/>
    <w:rsid w:val="00AF2D84"/>
    <w:rsid w:val="00AF2F53"/>
    <w:rsid w:val="00AF4109"/>
    <w:rsid w:val="00AF4CAA"/>
    <w:rsid w:val="00AF571A"/>
    <w:rsid w:val="00AF60A0"/>
    <w:rsid w:val="00AF626C"/>
    <w:rsid w:val="00AF67FC"/>
    <w:rsid w:val="00AF7DF5"/>
    <w:rsid w:val="00B006E5"/>
    <w:rsid w:val="00B02447"/>
    <w:rsid w:val="00B024C2"/>
    <w:rsid w:val="00B07700"/>
    <w:rsid w:val="00B1176D"/>
    <w:rsid w:val="00B131AC"/>
    <w:rsid w:val="00B13921"/>
    <w:rsid w:val="00B1528C"/>
    <w:rsid w:val="00B16ACD"/>
    <w:rsid w:val="00B20470"/>
    <w:rsid w:val="00B2080A"/>
    <w:rsid w:val="00B21487"/>
    <w:rsid w:val="00B225C0"/>
    <w:rsid w:val="00B232D1"/>
    <w:rsid w:val="00B24DB5"/>
    <w:rsid w:val="00B24F54"/>
    <w:rsid w:val="00B25EFD"/>
    <w:rsid w:val="00B31F9E"/>
    <w:rsid w:val="00B3268F"/>
    <w:rsid w:val="00B32C2C"/>
    <w:rsid w:val="00B33A1A"/>
    <w:rsid w:val="00B33E6C"/>
    <w:rsid w:val="00B34CC4"/>
    <w:rsid w:val="00B35802"/>
    <w:rsid w:val="00B371CC"/>
    <w:rsid w:val="00B40347"/>
    <w:rsid w:val="00B41CD9"/>
    <w:rsid w:val="00B42329"/>
    <w:rsid w:val="00B427E6"/>
    <w:rsid w:val="00B428A6"/>
    <w:rsid w:val="00B43471"/>
    <w:rsid w:val="00B43E1F"/>
    <w:rsid w:val="00B4588A"/>
    <w:rsid w:val="00B45FBC"/>
    <w:rsid w:val="00B46090"/>
    <w:rsid w:val="00B505E8"/>
    <w:rsid w:val="00B51A7D"/>
    <w:rsid w:val="00B535AF"/>
    <w:rsid w:val="00B535C2"/>
    <w:rsid w:val="00B55544"/>
    <w:rsid w:val="00B55CF8"/>
    <w:rsid w:val="00B57464"/>
    <w:rsid w:val="00B60F61"/>
    <w:rsid w:val="00B642FC"/>
    <w:rsid w:val="00B64D26"/>
    <w:rsid w:val="00B64FBB"/>
    <w:rsid w:val="00B651D8"/>
    <w:rsid w:val="00B668EB"/>
    <w:rsid w:val="00B70E22"/>
    <w:rsid w:val="00B71FF9"/>
    <w:rsid w:val="00B73CCD"/>
    <w:rsid w:val="00B770DC"/>
    <w:rsid w:val="00B774CB"/>
    <w:rsid w:val="00B77D8F"/>
    <w:rsid w:val="00B80402"/>
    <w:rsid w:val="00B80B9A"/>
    <w:rsid w:val="00B82422"/>
    <w:rsid w:val="00B82838"/>
    <w:rsid w:val="00B830B7"/>
    <w:rsid w:val="00B848EA"/>
    <w:rsid w:val="00B84B2B"/>
    <w:rsid w:val="00B90500"/>
    <w:rsid w:val="00B90986"/>
    <w:rsid w:val="00B9176C"/>
    <w:rsid w:val="00B935A4"/>
    <w:rsid w:val="00BA35B6"/>
    <w:rsid w:val="00BA3E42"/>
    <w:rsid w:val="00BA54AB"/>
    <w:rsid w:val="00BA561A"/>
    <w:rsid w:val="00BA680E"/>
    <w:rsid w:val="00BA6C78"/>
    <w:rsid w:val="00BB0DC6"/>
    <w:rsid w:val="00BB15E4"/>
    <w:rsid w:val="00BB1E19"/>
    <w:rsid w:val="00BB21D1"/>
    <w:rsid w:val="00BB32F2"/>
    <w:rsid w:val="00BB4255"/>
    <w:rsid w:val="00BB4338"/>
    <w:rsid w:val="00BB6C0E"/>
    <w:rsid w:val="00BB7B38"/>
    <w:rsid w:val="00BC0B1D"/>
    <w:rsid w:val="00BC10D7"/>
    <w:rsid w:val="00BC11E5"/>
    <w:rsid w:val="00BC284D"/>
    <w:rsid w:val="00BC41A2"/>
    <w:rsid w:val="00BC4BC6"/>
    <w:rsid w:val="00BC52FD"/>
    <w:rsid w:val="00BC6E62"/>
    <w:rsid w:val="00BC6E6D"/>
    <w:rsid w:val="00BC7443"/>
    <w:rsid w:val="00BD0648"/>
    <w:rsid w:val="00BD1040"/>
    <w:rsid w:val="00BD21BF"/>
    <w:rsid w:val="00BD27D8"/>
    <w:rsid w:val="00BD34AA"/>
    <w:rsid w:val="00BD379F"/>
    <w:rsid w:val="00BD5A37"/>
    <w:rsid w:val="00BD72ED"/>
    <w:rsid w:val="00BE0C44"/>
    <w:rsid w:val="00BE1522"/>
    <w:rsid w:val="00BE1B8B"/>
    <w:rsid w:val="00BE2A18"/>
    <w:rsid w:val="00BE2C01"/>
    <w:rsid w:val="00BE2DC9"/>
    <w:rsid w:val="00BE2F78"/>
    <w:rsid w:val="00BE41EC"/>
    <w:rsid w:val="00BE56FB"/>
    <w:rsid w:val="00BE6FEA"/>
    <w:rsid w:val="00BF16D0"/>
    <w:rsid w:val="00BF38CD"/>
    <w:rsid w:val="00BF3DDE"/>
    <w:rsid w:val="00BF5421"/>
    <w:rsid w:val="00BF6589"/>
    <w:rsid w:val="00BF6F7F"/>
    <w:rsid w:val="00BF704D"/>
    <w:rsid w:val="00C00647"/>
    <w:rsid w:val="00C00750"/>
    <w:rsid w:val="00C02764"/>
    <w:rsid w:val="00C04CEF"/>
    <w:rsid w:val="00C0662F"/>
    <w:rsid w:val="00C0728E"/>
    <w:rsid w:val="00C11943"/>
    <w:rsid w:val="00C1245A"/>
    <w:rsid w:val="00C12E96"/>
    <w:rsid w:val="00C137F2"/>
    <w:rsid w:val="00C14763"/>
    <w:rsid w:val="00C16141"/>
    <w:rsid w:val="00C17E7F"/>
    <w:rsid w:val="00C20187"/>
    <w:rsid w:val="00C23353"/>
    <w:rsid w:val="00C2363F"/>
    <w:rsid w:val="00C236C8"/>
    <w:rsid w:val="00C23D47"/>
    <w:rsid w:val="00C260B1"/>
    <w:rsid w:val="00C26C3A"/>
    <w:rsid w:val="00C26D40"/>
    <w:rsid w:val="00C26E56"/>
    <w:rsid w:val="00C31406"/>
    <w:rsid w:val="00C339C3"/>
    <w:rsid w:val="00C3646B"/>
    <w:rsid w:val="00C37194"/>
    <w:rsid w:val="00C40637"/>
    <w:rsid w:val="00C40F6C"/>
    <w:rsid w:val="00C41546"/>
    <w:rsid w:val="00C44211"/>
    <w:rsid w:val="00C44426"/>
    <w:rsid w:val="00C445F3"/>
    <w:rsid w:val="00C451F4"/>
    <w:rsid w:val="00C45884"/>
    <w:rsid w:val="00C45EB1"/>
    <w:rsid w:val="00C53A5E"/>
    <w:rsid w:val="00C54A3A"/>
    <w:rsid w:val="00C55566"/>
    <w:rsid w:val="00C56448"/>
    <w:rsid w:val="00C566E1"/>
    <w:rsid w:val="00C616A3"/>
    <w:rsid w:val="00C61A69"/>
    <w:rsid w:val="00C634CD"/>
    <w:rsid w:val="00C64434"/>
    <w:rsid w:val="00C64EC5"/>
    <w:rsid w:val="00C667BE"/>
    <w:rsid w:val="00C6766B"/>
    <w:rsid w:val="00C72223"/>
    <w:rsid w:val="00C73706"/>
    <w:rsid w:val="00C74BD9"/>
    <w:rsid w:val="00C75ECC"/>
    <w:rsid w:val="00C7609B"/>
    <w:rsid w:val="00C76417"/>
    <w:rsid w:val="00C7716B"/>
    <w:rsid w:val="00C7726F"/>
    <w:rsid w:val="00C773F4"/>
    <w:rsid w:val="00C800D1"/>
    <w:rsid w:val="00C823DA"/>
    <w:rsid w:val="00C8259F"/>
    <w:rsid w:val="00C82746"/>
    <w:rsid w:val="00C82FAE"/>
    <w:rsid w:val="00C830A1"/>
    <w:rsid w:val="00C8312F"/>
    <w:rsid w:val="00C84273"/>
    <w:rsid w:val="00C84C47"/>
    <w:rsid w:val="00C85849"/>
    <w:rsid w:val="00C858A4"/>
    <w:rsid w:val="00C85BC6"/>
    <w:rsid w:val="00C86637"/>
    <w:rsid w:val="00C86A90"/>
    <w:rsid w:val="00C86AFA"/>
    <w:rsid w:val="00C90D7A"/>
    <w:rsid w:val="00C92B91"/>
    <w:rsid w:val="00C92F60"/>
    <w:rsid w:val="00CA0062"/>
    <w:rsid w:val="00CA71AF"/>
    <w:rsid w:val="00CB0D6B"/>
    <w:rsid w:val="00CB1068"/>
    <w:rsid w:val="00CB18D0"/>
    <w:rsid w:val="00CB1C8A"/>
    <w:rsid w:val="00CB24F5"/>
    <w:rsid w:val="00CB2663"/>
    <w:rsid w:val="00CB3364"/>
    <w:rsid w:val="00CB3BBE"/>
    <w:rsid w:val="00CB40B3"/>
    <w:rsid w:val="00CB59E9"/>
    <w:rsid w:val="00CB6EDE"/>
    <w:rsid w:val="00CC0D6A"/>
    <w:rsid w:val="00CC1C71"/>
    <w:rsid w:val="00CC3329"/>
    <w:rsid w:val="00CC3831"/>
    <w:rsid w:val="00CC3E3D"/>
    <w:rsid w:val="00CC519B"/>
    <w:rsid w:val="00CC53C5"/>
    <w:rsid w:val="00CC5A10"/>
    <w:rsid w:val="00CC66D1"/>
    <w:rsid w:val="00CD12C1"/>
    <w:rsid w:val="00CD214E"/>
    <w:rsid w:val="00CD2623"/>
    <w:rsid w:val="00CD46FA"/>
    <w:rsid w:val="00CD4C47"/>
    <w:rsid w:val="00CD5973"/>
    <w:rsid w:val="00CD60CB"/>
    <w:rsid w:val="00CD7C54"/>
    <w:rsid w:val="00CE1F28"/>
    <w:rsid w:val="00CE2333"/>
    <w:rsid w:val="00CE2D18"/>
    <w:rsid w:val="00CE31A6"/>
    <w:rsid w:val="00CE3839"/>
    <w:rsid w:val="00CE5DA0"/>
    <w:rsid w:val="00CE64CD"/>
    <w:rsid w:val="00CE7E27"/>
    <w:rsid w:val="00CF09AA"/>
    <w:rsid w:val="00CF1C4B"/>
    <w:rsid w:val="00CF2B09"/>
    <w:rsid w:val="00CF466E"/>
    <w:rsid w:val="00CF4813"/>
    <w:rsid w:val="00CF5233"/>
    <w:rsid w:val="00CF545A"/>
    <w:rsid w:val="00D0015B"/>
    <w:rsid w:val="00D029B8"/>
    <w:rsid w:val="00D02F60"/>
    <w:rsid w:val="00D02FE0"/>
    <w:rsid w:val="00D0371C"/>
    <w:rsid w:val="00D03DF1"/>
    <w:rsid w:val="00D0464E"/>
    <w:rsid w:val="00D04A96"/>
    <w:rsid w:val="00D052E4"/>
    <w:rsid w:val="00D06CB9"/>
    <w:rsid w:val="00D07A7B"/>
    <w:rsid w:val="00D10E06"/>
    <w:rsid w:val="00D11323"/>
    <w:rsid w:val="00D14F83"/>
    <w:rsid w:val="00D15197"/>
    <w:rsid w:val="00D15633"/>
    <w:rsid w:val="00D16820"/>
    <w:rsid w:val="00D1691B"/>
    <w:rsid w:val="00D169C8"/>
    <w:rsid w:val="00D1793F"/>
    <w:rsid w:val="00D20DD6"/>
    <w:rsid w:val="00D21699"/>
    <w:rsid w:val="00D22452"/>
    <w:rsid w:val="00D22AF5"/>
    <w:rsid w:val="00D22DB4"/>
    <w:rsid w:val="00D235E3"/>
    <w:rsid w:val="00D235EA"/>
    <w:rsid w:val="00D24504"/>
    <w:rsid w:val="00D24764"/>
    <w:rsid w:val="00D247A9"/>
    <w:rsid w:val="00D27172"/>
    <w:rsid w:val="00D276B6"/>
    <w:rsid w:val="00D27E6B"/>
    <w:rsid w:val="00D31157"/>
    <w:rsid w:val="00D31AF7"/>
    <w:rsid w:val="00D32721"/>
    <w:rsid w:val="00D328DC"/>
    <w:rsid w:val="00D33387"/>
    <w:rsid w:val="00D353B0"/>
    <w:rsid w:val="00D402FB"/>
    <w:rsid w:val="00D404D1"/>
    <w:rsid w:val="00D40797"/>
    <w:rsid w:val="00D433CC"/>
    <w:rsid w:val="00D4444C"/>
    <w:rsid w:val="00D44CEC"/>
    <w:rsid w:val="00D459F6"/>
    <w:rsid w:val="00D465F8"/>
    <w:rsid w:val="00D47D7A"/>
    <w:rsid w:val="00D50ABD"/>
    <w:rsid w:val="00D51AA6"/>
    <w:rsid w:val="00D5210D"/>
    <w:rsid w:val="00D545D5"/>
    <w:rsid w:val="00D5498E"/>
    <w:rsid w:val="00D55290"/>
    <w:rsid w:val="00D57791"/>
    <w:rsid w:val="00D6046A"/>
    <w:rsid w:val="00D6144C"/>
    <w:rsid w:val="00D61EE2"/>
    <w:rsid w:val="00D62870"/>
    <w:rsid w:val="00D63AB1"/>
    <w:rsid w:val="00D655D9"/>
    <w:rsid w:val="00D65872"/>
    <w:rsid w:val="00D676F3"/>
    <w:rsid w:val="00D704B6"/>
    <w:rsid w:val="00D70B3C"/>
    <w:rsid w:val="00D70BFF"/>
    <w:rsid w:val="00D70EF5"/>
    <w:rsid w:val="00D71024"/>
    <w:rsid w:val="00D71432"/>
    <w:rsid w:val="00D71A06"/>
    <w:rsid w:val="00D71A25"/>
    <w:rsid w:val="00D71FCF"/>
    <w:rsid w:val="00D72A54"/>
    <w:rsid w:val="00D72CC1"/>
    <w:rsid w:val="00D731CB"/>
    <w:rsid w:val="00D76EC9"/>
    <w:rsid w:val="00D80E7D"/>
    <w:rsid w:val="00D81397"/>
    <w:rsid w:val="00D8240C"/>
    <w:rsid w:val="00D84485"/>
    <w:rsid w:val="00D848B9"/>
    <w:rsid w:val="00D87BD4"/>
    <w:rsid w:val="00D908FB"/>
    <w:rsid w:val="00D90E69"/>
    <w:rsid w:val="00D91368"/>
    <w:rsid w:val="00D93106"/>
    <w:rsid w:val="00D933E9"/>
    <w:rsid w:val="00D93894"/>
    <w:rsid w:val="00D93FD2"/>
    <w:rsid w:val="00D94183"/>
    <w:rsid w:val="00D9505D"/>
    <w:rsid w:val="00D953D0"/>
    <w:rsid w:val="00D959F5"/>
    <w:rsid w:val="00D96884"/>
    <w:rsid w:val="00DA0650"/>
    <w:rsid w:val="00DA1CDB"/>
    <w:rsid w:val="00DA382A"/>
    <w:rsid w:val="00DA3FDD"/>
    <w:rsid w:val="00DA6485"/>
    <w:rsid w:val="00DA6FC0"/>
    <w:rsid w:val="00DA7017"/>
    <w:rsid w:val="00DA7028"/>
    <w:rsid w:val="00DB1AD2"/>
    <w:rsid w:val="00DB239C"/>
    <w:rsid w:val="00DB2B58"/>
    <w:rsid w:val="00DB45BD"/>
    <w:rsid w:val="00DB5206"/>
    <w:rsid w:val="00DB6276"/>
    <w:rsid w:val="00DB63F5"/>
    <w:rsid w:val="00DB6A22"/>
    <w:rsid w:val="00DB6DCB"/>
    <w:rsid w:val="00DB7E8A"/>
    <w:rsid w:val="00DC06A7"/>
    <w:rsid w:val="00DC1C6B"/>
    <w:rsid w:val="00DC2261"/>
    <w:rsid w:val="00DC2C2E"/>
    <w:rsid w:val="00DC4AF0"/>
    <w:rsid w:val="00DC4CE7"/>
    <w:rsid w:val="00DC7191"/>
    <w:rsid w:val="00DC72CF"/>
    <w:rsid w:val="00DC7886"/>
    <w:rsid w:val="00DC7C9B"/>
    <w:rsid w:val="00DC7F90"/>
    <w:rsid w:val="00DD0C47"/>
    <w:rsid w:val="00DD0CF2"/>
    <w:rsid w:val="00DD384E"/>
    <w:rsid w:val="00DD3D32"/>
    <w:rsid w:val="00DD5F33"/>
    <w:rsid w:val="00DD6B74"/>
    <w:rsid w:val="00DE1554"/>
    <w:rsid w:val="00DE2901"/>
    <w:rsid w:val="00DE365F"/>
    <w:rsid w:val="00DE590F"/>
    <w:rsid w:val="00DE7DC1"/>
    <w:rsid w:val="00DF0718"/>
    <w:rsid w:val="00DF3F7E"/>
    <w:rsid w:val="00DF5004"/>
    <w:rsid w:val="00DF64AA"/>
    <w:rsid w:val="00DF7648"/>
    <w:rsid w:val="00DF77E9"/>
    <w:rsid w:val="00DF7BE7"/>
    <w:rsid w:val="00E00123"/>
    <w:rsid w:val="00E00E29"/>
    <w:rsid w:val="00E02BAB"/>
    <w:rsid w:val="00E02BFE"/>
    <w:rsid w:val="00E04CEB"/>
    <w:rsid w:val="00E05852"/>
    <w:rsid w:val="00E060BC"/>
    <w:rsid w:val="00E11118"/>
    <w:rsid w:val="00E11420"/>
    <w:rsid w:val="00E132FB"/>
    <w:rsid w:val="00E1574A"/>
    <w:rsid w:val="00E16E32"/>
    <w:rsid w:val="00E170B7"/>
    <w:rsid w:val="00E177DD"/>
    <w:rsid w:val="00E20900"/>
    <w:rsid w:val="00E20C7F"/>
    <w:rsid w:val="00E2396E"/>
    <w:rsid w:val="00E24728"/>
    <w:rsid w:val="00E25081"/>
    <w:rsid w:val="00E26298"/>
    <w:rsid w:val="00E266E3"/>
    <w:rsid w:val="00E27182"/>
    <w:rsid w:val="00E276AC"/>
    <w:rsid w:val="00E30F1E"/>
    <w:rsid w:val="00E32B23"/>
    <w:rsid w:val="00E34A35"/>
    <w:rsid w:val="00E36AA3"/>
    <w:rsid w:val="00E37C2F"/>
    <w:rsid w:val="00E37DE9"/>
    <w:rsid w:val="00E419AA"/>
    <w:rsid w:val="00E41C28"/>
    <w:rsid w:val="00E424EB"/>
    <w:rsid w:val="00E4366A"/>
    <w:rsid w:val="00E43677"/>
    <w:rsid w:val="00E45B1D"/>
    <w:rsid w:val="00E46308"/>
    <w:rsid w:val="00E47594"/>
    <w:rsid w:val="00E50448"/>
    <w:rsid w:val="00E517CE"/>
    <w:rsid w:val="00E51E17"/>
    <w:rsid w:val="00E52DAB"/>
    <w:rsid w:val="00E532FA"/>
    <w:rsid w:val="00E539B0"/>
    <w:rsid w:val="00E54B35"/>
    <w:rsid w:val="00E55994"/>
    <w:rsid w:val="00E60606"/>
    <w:rsid w:val="00E60C66"/>
    <w:rsid w:val="00E6164D"/>
    <w:rsid w:val="00E618C9"/>
    <w:rsid w:val="00E62774"/>
    <w:rsid w:val="00E6307C"/>
    <w:rsid w:val="00E636FA"/>
    <w:rsid w:val="00E64E14"/>
    <w:rsid w:val="00E651D1"/>
    <w:rsid w:val="00E66C50"/>
    <w:rsid w:val="00E67805"/>
    <w:rsid w:val="00E679D3"/>
    <w:rsid w:val="00E71208"/>
    <w:rsid w:val="00E71444"/>
    <w:rsid w:val="00E71C91"/>
    <w:rsid w:val="00E720A1"/>
    <w:rsid w:val="00E75DDA"/>
    <w:rsid w:val="00E76769"/>
    <w:rsid w:val="00E76771"/>
    <w:rsid w:val="00E773E8"/>
    <w:rsid w:val="00E81962"/>
    <w:rsid w:val="00E83ADD"/>
    <w:rsid w:val="00E84F38"/>
    <w:rsid w:val="00E85623"/>
    <w:rsid w:val="00E85834"/>
    <w:rsid w:val="00E87441"/>
    <w:rsid w:val="00E9084C"/>
    <w:rsid w:val="00E90A88"/>
    <w:rsid w:val="00E90FD5"/>
    <w:rsid w:val="00E91FAE"/>
    <w:rsid w:val="00E927CE"/>
    <w:rsid w:val="00E950C1"/>
    <w:rsid w:val="00E96E3F"/>
    <w:rsid w:val="00EA030A"/>
    <w:rsid w:val="00EA0697"/>
    <w:rsid w:val="00EA270C"/>
    <w:rsid w:val="00EA2B36"/>
    <w:rsid w:val="00EA2FF0"/>
    <w:rsid w:val="00EA3C3A"/>
    <w:rsid w:val="00EA451B"/>
    <w:rsid w:val="00EA4974"/>
    <w:rsid w:val="00EA532E"/>
    <w:rsid w:val="00EA5B30"/>
    <w:rsid w:val="00EA6C80"/>
    <w:rsid w:val="00EB06D9"/>
    <w:rsid w:val="00EB192B"/>
    <w:rsid w:val="00EB19ED"/>
    <w:rsid w:val="00EB1CAB"/>
    <w:rsid w:val="00EB7356"/>
    <w:rsid w:val="00EC0F5A"/>
    <w:rsid w:val="00EC209D"/>
    <w:rsid w:val="00EC4265"/>
    <w:rsid w:val="00EC44D4"/>
    <w:rsid w:val="00EC4CEB"/>
    <w:rsid w:val="00EC659E"/>
    <w:rsid w:val="00EC786C"/>
    <w:rsid w:val="00ED0CD7"/>
    <w:rsid w:val="00ED1BD5"/>
    <w:rsid w:val="00ED2072"/>
    <w:rsid w:val="00ED2AE0"/>
    <w:rsid w:val="00ED4B34"/>
    <w:rsid w:val="00ED5553"/>
    <w:rsid w:val="00ED5915"/>
    <w:rsid w:val="00ED5E36"/>
    <w:rsid w:val="00ED6961"/>
    <w:rsid w:val="00ED7A1E"/>
    <w:rsid w:val="00EE1CA6"/>
    <w:rsid w:val="00EE1D73"/>
    <w:rsid w:val="00EE288A"/>
    <w:rsid w:val="00EE311B"/>
    <w:rsid w:val="00EF012A"/>
    <w:rsid w:val="00EF0B96"/>
    <w:rsid w:val="00EF0F5B"/>
    <w:rsid w:val="00EF1F5B"/>
    <w:rsid w:val="00EF28B7"/>
    <w:rsid w:val="00EF3486"/>
    <w:rsid w:val="00EF3522"/>
    <w:rsid w:val="00EF36D2"/>
    <w:rsid w:val="00EF3969"/>
    <w:rsid w:val="00EF47AF"/>
    <w:rsid w:val="00EF53B6"/>
    <w:rsid w:val="00EF5FF2"/>
    <w:rsid w:val="00F00B73"/>
    <w:rsid w:val="00F06B1E"/>
    <w:rsid w:val="00F115CA"/>
    <w:rsid w:val="00F115E5"/>
    <w:rsid w:val="00F1348C"/>
    <w:rsid w:val="00F13A17"/>
    <w:rsid w:val="00F14817"/>
    <w:rsid w:val="00F14EBA"/>
    <w:rsid w:val="00F1510F"/>
    <w:rsid w:val="00F1533A"/>
    <w:rsid w:val="00F15E5A"/>
    <w:rsid w:val="00F176C0"/>
    <w:rsid w:val="00F17F0A"/>
    <w:rsid w:val="00F2109C"/>
    <w:rsid w:val="00F21971"/>
    <w:rsid w:val="00F22211"/>
    <w:rsid w:val="00F237E3"/>
    <w:rsid w:val="00F2559E"/>
    <w:rsid w:val="00F25C54"/>
    <w:rsid w:val="00F2668F"/>
    <w:rsid w:val="00F26D14"/>
    <w:rsid w:val="00F26D58"/>
    <w:rsid w:val="00F2742F"/>
    <w:rsid w:val="00F2753B"/>
    <w:rsid w:val="00F278BE"/>
    <w:rsid w:val="00F31400"/>
    <w:rsid w:val="00F33F8B"/>
    <w:rsid w:val="00F33FA5"/>
    <w:rsid w:val="00F340B2"/>
    <w:rsid w:val="00F350C3"/>
    <w:rsid w:val="00F36AE7"/>
    <w:rsid w:val="00F36D78"/>
    <w:rsid w:val="00F43390"/>
    <w:rsid w:val="00F443B2"/>
    <w:rsid w:val="00F458D8"/>
    <w:rsid w:val="00F46E83"/>
    <w:rsid w:val="00F50237"/>
    <w:rsid w:val="00F51B21"/>
    <w:rsid w:val="00F51E92"/>
    <w:rsid w:val="00F53596"/>
    <w:rsid w:val="00F5422C"/>
    <w:rsid w:val="00F55BA8"/>
    <w:rsid w:val="00F55DB1"/>
    <w:rsid w:val="00F56ACA"/>
    <w:rsid w:val="00F600FE"/>
    <w:rsid w:val="00F606DA"/>
    <w:rsid w:val="00F61E7D"/>
    <w:rsid w:val="00F62E4D"/>
    <w:rsid w:val="00F65079"/>
    <w:rsid w:val="00F66B34"/>
    <w:rsid w:val="00F675B9"/>
    <w:rsid w:val="00F675EE"/>
    <w:rsid w:val="00F711C9"/>
    <w:rsid w:val="00F74C59"/>
    <w:rsid w:val="00F75C3A"/>
    <w:rsid w:val="00F82E30"/>
    <w:rsid w:val="00F831CB"/>
    <w:rsid w:val="00F83B66"/>
    <w:rsid w:val="00F848A3"/>
    <w:rsid w:val="00F84ACF"/>
    <w:rsid w:val="00F85742"/>
    <w:rsid w:val="00F85BF8"/>
    <w:rsid w:val="00F85D96"/>
    <w:rsid w:val="00F871CE"/>
    <w:rsid w:val="00F87802"/>
    <w:rsid w:val="00F90587"/>
    <w:rsid w:val="00F9059F"/>
    <w:rsid w:val="00F90626"/>
    <w:rsid w:val="00F91FB7"/>
    <w:rsid w:val="00F92B5F"/>
    <w:rsid w:val="00F92C0A"/>
    <w:rsid w:val="00F92EBB"/>
    <w:rsid w:val="00F9415B"/>
    <w:rsid w:val="00FA13C2"/>
    <w:rsid w:val="00FA1995"/>
    <w:rsid w:val="00FA35CD"/>
    <w:rsid w:val="00FA4FF2"/>
    <w:rsid w:val="00FA7F91"/>
    <w:rsid w:val="00FB03EC"/>
    <w:rsid w:val="00FB121C"/>
    <w:rsid w:val="00FB1CDD"/>
    <w:rsid w:val="00FB2C2F"/>
    <w:rsid w:val="00FB305C"/>
    <w:rsid w:val="00FB4531"/>
    <w:rsid w:val="00FB6857"/>
    <w:rsid w:val="00FC1BF9"/>
    <w:rsid w:val="00FC2E3D"/>
    <w:rsid w:val="00FC35AB"/>
    <w:rsid w:val="00FC3BDE"/>
    <w:rsid w:val="00FC7655"/>
    <w:rsid w:val="00FD09D4"/>
    <w:rsid w:val="00FD1DBE"/>
    <w:rsid w:val="00FD25A7"/>
    <w:rsid w:val="00FD27B6"/>
    <w:rsid w:val="00FD3689"/>
    <w:rsid w:val="00FD42A3"/>
    <w:rsid w:val="00FD6E9C"/>
    <w:rsid w:val="00FD7468"/>
    <w:rsid w:val="00FD7CE0"/>
    <w:rsid w:val="00FD7DB7"/>
    <w:rsid w:val="00FE0B3B"/>
    <w:rsid w:val="00FE15D1"/>
    <w:rsid w:val="00FE1BE2"/>
    <w:rsid w:val="00FE2549"/>
    <w:rsid w:val="00FE35A1"/>
    <w:rsid w:val="00FE6B25"/>
    <w:rsid w:val="00FE730A"/>
    <w:rsid w:val="00FE76F2"/>
    <w:rsid w:val="00FF1603"/>
    <w:rsid w:val="00FF1DD7"/>
    <w:rsid w:val="00FF1E82"/>
    <w:rsid w:val="00FF2C5D"/>
    <w:rsid w:val="00FF31A8"/>
    <w:rsid w:val="00FF4453"/>
    <w:rsid w:val="00FF7B8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417531"/>
  <w15:docId w15:val="{0FBE0B84-952C-4D2C-887E-6A85FD06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0"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3FA5"/>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qFormat/>
    <w:rsid w:val="00CE2D18"/>
    <w:pPr>
      <w:keepNext/>
      <w:widowControl/>
      <w:autoSpaceDE/>
      <w:autoSpaceDN/>
      <w:adjustRightInd/>
      <w:spacing w:before="240" w:after="60" w:line="240" w:lineRule="auto"/>
      <w:outlineLvl w:val="2"/>
    </w:pPr>
    <w:rPr>
      <w:rFonts w:ascii="Arial" w:eastAsia="Times New Roman"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504C0"/>
    <w:rPr>
      <w:rFonts w:asciiTheme="majorHAnsi" w:eastAsiaTheme="majorEastAsia" w:hAnsiTheme="majorHAnsi" w:cstheme="majorBidi"/>
      <w:b/>
      <w:bCs/>
      <w:color w:val="365F91" w:themeColor="accent1" w:themeShade="BF"/>
      <w:kern w:val="1"/>
      <w:sz w:val="28"/>
      <w:szCs w:val="28"/>
      <w:lang w:eastAsia="ar-SA"/>
    </w:rPr>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LITlitera">
    <w:name w:val="LIT – litera"/>
    <w:basedOn w:val="PKTpunkt"/>
    <w:uiPriority w:val="14"/>
    <w:qFormat/>
    <w:rsid w:val="005147E8"/>
    <w:pPr>
      <w:ind w:left="986" w:hanging="476"/>
    </w:p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TIRtiret">
    <w:name w:val="TIR – tiret"/>
    <w:basedOn w:val="LITlitera"/>
    <w:uiPriority w:val="15"/>
    <w:qFormat/>
    <w:rsid w:val="005147E8"/>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ZPKTzmpktartykuempunktem">
    <w:name w:val="Z/PKT – zm. pkt artykułem (punktem)"/>
    <w:basedOn w:val="PKTpunkt"/>
    <w:uiPriority w:val="31"/>
    <w:qFormat/>
    <w:rsid w:val="006A748A"/>
    <w:pPr>
      <w:ind w:left="1020"/>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customStyle="1" w:styleId="ZLITzmlitartykuempunktem">
    <w:name w:val="Z/LIT – zm. lit. artykułem (punktem)"/>
    <w:basedOn w:val="LITlitera"/>
    <w:uiPriority w:val="32"/>
    <w:qFormat/>
    <w:rsid w:val="006A748A"/>
  </w:style>
  <w:style w:type="paragraph" w:styleId="Bezodstpw">
    <w:name w:val="No Spacing"/>
    <w:uiPriority w:val="99"/>
    <w:rsid w:val="004C3F97"/>
    <w:pPr>
      <w:widowControl w:val="0"/>
      <w:suppressAutoHyphens/>
    </w:pPr>
    <w:rPr>
      <w:kern w:val="1"/>
      <w:lang w:eastAsia="ar-SA"/>
    </w:r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PKTzmianazmpkt">
    <w:name w:val="ZZ/PKT – zmiana zm. pkt"/>
    <w:basedOn w:val="ZPKTzmpktartykuempunktem"/>
    <w:uiPriority w:val="66"/>
    <w:qFormat/>
    <w:rsid w:val="006A748A"/>
    <w:pPr>
      <w:ind w:left="2404"/>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ZARTzmianazmart">
    <w:name w:val="ZZ/ART(§) – zmiana zm. art. (§)"/>
    <w:basedOn w:val="ZARTzmartartykuempunktem"/>
    <w:uiPriority w:val="65"/>
    <w:qFormat/>
    <w:rsid w:val="006A748A"/>
    <w:pPr>
      <w:ind w:left="1894"/>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ZZUSTzmianazmust">
    <w:name w:val="ZZ/UST(§) – zmiana zm. ust. (§)"/>
    <w:basedOn w:val="ZZARTzmianazmart"/>
    <w:uiPriority w:val="65"/>
    <w:qFormat/>
    <w:rsid w:val="006A748A"/>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USTzmustartykuempunktem">
    <w:name w:val="Z/UST(§) – zm. ust. (§) artykułem (punktem)"/>
    <w:basedOn w:val="ZARTzmartartykuempunktem"/>
    <w:uiPriority w:val="30"/>
    <w:qFormat/>
    <w:rsid w:val="006A748A"/>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uiPriority w:val="99"/>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1E2A60"/>
    <w:pPr>
      <w:spacing w:line="240" w:lineRule="auto"/>
    </w:pPr>
    <w:rPr>
      <w:rFonts w:ascii="Times New Roman" w:eastAsiaTheme="minorEastAsia" w:hAnsi="Times New Roman" w:cs="Arial"/>
      <w:szCs w:val="20"/>
    </w:rPr>
  </w:style>
  <w:style w:type="character" w:customStyle="1" w:styleId="Nagwek3Znak">
    <w:name w:val="Nagłówek 3 Znak"/>
    <w:basedOn w:val="Domylnaczcionkaakapitu"/>
    <w:link w:val="Nagwek3"/>
    <w:rsid w:val="00CE2D18"/>
    <w:rPr>
      <w:rFonts w:ascii="Arial" w:hAnsi="Arial" w:cs="Arial"/>
      <w:b/>
      <w:bCs/>
      <w:sz w:val="26"/>
      <w:szCs w:val="26"/>
    </w:rPr>
  </w:style>
  <w:style w:type="paragraph" w:styleId="Tekstprzypisukocowego">
    <w:name w:val="endnote text"/>
    <w:basedOn w:val="Normalny"/>
    <w:link w:val="TekstprzypisukocowegoZnak"/>
    <w:uiPriority w:val="99"/>
    <w:semiHidden/>
    <w:unhideWhenUsed/>
    <w:rsid w:val="00CE2D18"/>
    <w:pPr>
      <w:widowControl/>
      <w:autoSpaceDE/>
      <w:autoSpaceDN/>
      <w:adjustRightInd/>
      <w:spacing w:line="240" w:lineRule="auto"/>
    </w:pPr>
    <w:rPr>
      <w:rFonts w:ascii="Calibri" w:eastAsia="Calibri" w:hAnsi="Calibri" w:cs="Times New Roman"/>
      <w:sz w:val="20"/>
      <w:lang w:eastAsia="en-US"/>
    </w:rPr>
  </w:style>
  <w:style w:type="character" w:customStyle="1" w:styleId="TekstprzypisukocowegoZnak">
    <w:name w:val="Tekst przypisu końcowego Znak"/>
    <w:basedOn w:val="Domylnaczcionkaakapitu"/>
    <w:link w:val="Tekstprzypisukocowego"/>
    <w:uiPriority w:val="99"/>
    <w:semiHidden/>
    <w:rsid w:val="00CE2D18"/>
    <w:rPr>
      <w:rFonts w:ascii="Calibri" w:eastAsia="Calibri" w:hAnsi="Calibri"/>
      <w:sz w:val="20"/>
      <w:szCs w:val="20"/>
      <w:lang w:eastAsia="en-US"/>
    </w:rPr>
  </w:style>
  <w:style w:type="character" w:styleId="Odwoanieprzypisukocowego">
    <w:name w:val="endnote reference"/>
    <w:uiPriority w:val="99"/>
    <w:semiHidden/>
    <w:unhideWhenUsed/>
    <w:rsid w:val="00CE2D18"/>
    <w:rPr>
      <w:vertAlign w:val="superscript"/>
    </w:rPr>
  </w:style>
  <w:style w:type="paragraph" w:styleId="Akapitzlist">
    <w:name w:val="List Paragraph"/>
    <w:basedOn w:val="Normalny"/>
    <w:qFormat/>
    <w:rsid w:val="00CE2D18"/>
    <w:pPr>
      <w:widowControl/>
      <w:autoSpaceDE/>
      <w:autoSpaceDN/>
      <w:adjustRightInd/>
      <w:spacing w:line="276" w:lineRule="auto"/>
      <w:ind w:left="720"/>
      <w:contextualSpacing/>
    </w:pPr>
    <w:rPr>
      <w:rFonts w:ascii="Calibri" w:eastAsia="Calibri" w:hAnsi="Calibri" w:cs="Times New Roman"/>
      <w:sz w:val="22"/>
      <w:szCs w:val="22"/>
      <w:lang w:eastAsia="en-US"/>
    </w:rPr>
  </w:style>
  <w:style w:type="character" w:styleId="Hipercze">
    <w:name w:val="Hyperlink"/>
    <w:uiPriority w:val="99"/>
    <w:unhideWhenUsed/>
    <w:rsid w:val="00CE2D18"/>
    <w:rPr>
      <w:color w:val="0000FF"/>
      <w:u w:val="single"/>
    </w:rPr>
  </w:style>
  <w:style w:type="character" w:styleId="UyteHipercze">
    <w:name w:val="FollowedHyperlink"/>
    <w:uiPriority w:val="99"/>
    <w:semiHidden/>
    <w:unhideWhenUsed/>
    <w:rsid w:val="00CE2D18"/>
    <w:rPr>
      <w:color w:val="800080"/>
      <w:u w:val="single"/>
    </w:rPr>
  </w:style>
  <w:style w:type="paragraph" w:customStyle="1" w:styleId="Default">
    <w:name w:val="Default"/>
    <w:rsid w:val="00CE2D18"/>
    <w:pPr>
      <w:autoSpaceDE w:val="0"/>
      <w:autoSpaceDN w:val="0"/>
      <w:adjustRightInd w:val="0"/>
      <w:spacing w:line="240" w:lineRule="auto"/>
    </w:pPr>
    <w:rPr>
      <w:rFonts w:ascii="Fira Sans" w:eastAsia="Calibri" w:hAnsi="Fira Sans" w:cs="Fira Sans"/>
      <w:color w:val="000000"/>
    </w:rPr>
  </w:style>
  <w:style w:type="numbering" w:customStyle="1" w:styleId="Bezlisty1">
    <w:name w:val="Bez listy1"/>
    <w:next w:val="Bezlisty"/>
    <w:uiPriority w:val="99"/>
    <w:semiHidden/>
    <w:unhideWhenUsed/>
    <w:rsid w:val="00A42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07287">
      <w:bodyDiv w:val="1"/>
      <w:marLeft w:val="0"/>
      <w:marRight w:val="0"/>
      <w:marTop w:val="0"/>
      <w:marBottom w:val="0"/>
      <w:divBdr>
        <w:top w:val="none" w:sz="0" w:space="0" w:color="auto"/>
        <w:left w:val="none" w:sz="0" w:space="0" w:color="auto"/>
        <w:bottom w:val="none" w:sz="0" w:space="0" w:color="auto"/>
        <w:right w:val="none" w:sz="0" w:space="0" w:color="auto"/>
      </w:divBdr>
    </w:div>
    <w:div w:id="339813731">
      <w:bodyDiv w:val="1"/>
      <w:marLeft w:val="0"/>
      <w:marRight w:val="0"/>
      <w:marTop w:val="0"/>
      <w:marBottom w:val="0"/>
      <w:divBdr>
        <w:top w:val="none" w:sz="0" w:space="0" w:color="auto"/>
        <w:left w:val="none" w:sz="0" w:space="0" w:color="auto"/>
        <w:bottom w:val="none" w:sz="0" w:space="0" w:color="auto"/>
        <w:right w:val="none" w:sz="0" w:space="0" w:color="auto"/>
      </w:divBdr>
    </w:div>
    <w:div w:id="472911478">
      <w:bodyDiv w:val="1"/>
      <w:marLeft w:val="0"/>
      <w:marRight w:val="0"/>
      <w:marTop w:val="0"/>
      <w:marBottom w:val="0"/>
      <w:divBdr>
        <w:top w:val="none" w:sz="0" w:space="0" w:color="auto"/>
        <w:left w:val="none" w:sz="0" w:space="0" w:color="auto"/>
        <w:bottom w:val="none" w:sz="0" w:space="0" w:color="auto"/>
        <w:right w:val="none" w:sz="0" w:space="0" w:color="auto"/>
      </w:divBdr>
    </w:div>
    <w:div w:id="1183739287">
      <w:bodyDiv w:val="1"/>
      <w:marLeft w:val="0"/>
      <w:marRight w:val="0"/>
      <w:marTop w:val="0"/>
      <w:marBottom w:val="0"/>
      <w:divBdr>
        <w:top w:val="none" w:sz="0" w:space="0" w:color="auto"/>
        <w:left w:val="none" w:sz="0" w:space="0" w:color="auto"/>
        <w:bottom w:val="none" w:sz="0" w:space="0" w:color="auto"/>
        <w:right w:val="none" w:sz="0" w:space="0" w:color="auto"/>
      </w:divBdr>
    </w:div>
    <w:div w:id="1392312951">
      <w:bodyDiv w:val="1"/>
      <w:marLeft w:val="0"/>
      <w:marRight w:val="0"/>
      <w:marTop w:val="0"/>
      <w:marBottom w:val="0"/>
      <w:divBdr>
        <w:top w:val="none" w:sz="0" w:space="0" w:color="auto"/>
        <w:left w:val="none" w:sz="0" w:space="0" w:color="auto"/>
        <w:bottom w:val="none" w:sz="0" w:space="0" w:color="auto"/>
        <w:right w:val="none" w:sz="0" w:space="0" w:color="auto"/>
      </w:divBdr>
    </w:div>
    <w:div w:id="190375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ata.gov.ie/uploads/page_images/2018-03-07-114306.063816Final-Strategy-online-version1.pdf" TargetMode="External"/><Relationship Id="rId18"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mikolaj.garstka@mc.gov.pl" TargetMode="External"/><Relationship Id="rId17"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2" Type="http://schemas.openxmlformats.org/officeDocument/2006/relationships/customXml" Target="../customXml/item2.xml"/><Relationship Id="rId16" Type="http://schemas.openxmlformats.org/officeDocument/2006/relationships/hyperlink" Target="https://www.europeandataportal.eu/pl/using-data/benefits-of-open-data" TargetMode="External"/><Relationship Id="rId20"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minik.sybilski@mc.gov.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api.stat.gov.pl/" TargetMode="External"/><Relationship Id="rId23" Type="http://schemas.openxmlformats.org/officeDocument/2006/relationships/glossaryDocument" Target="glossary/document.xml"/><Relationship Id="rId10" Type="http://schemas.openxmlformats.org/officeDocument/2006/relationships/hyperlink" Target="http://www.dane.gov.pl" TargetMode="External"/><Relationship Id="rId19"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4" Type="http://schemas.openxmlformats.org/officeDocument/2006/relationships/styles" Target="styles.xml"/><Relationship Id="rId9" Type="http://schemas.openxmlformats.org/officeDocument/2006/relationships/hyperlink" Target="http://www.dane.gov.pl" TargetMode="External"/><Relationship Id="rId14" Type="http://schemas.openxmlformats.org/officeDocument/2006/relationships/hyperlink" Target="https://docs.italia.it/italia/daf/lg-patrimonio-pubblico/it/bozza/index.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13" Type="http://schemas.openxmlformats.org/officeDocument/2006/relationships/hyperlink" Target="https://www.gov.pl/documents/528248/541918/PROGRAM_PRPM_26112018.pdf/917baba4-8f73-1d3d-1f63-8446b0c41145" TargetMode="External"/><Relationship Id="rId18" Type="http://schemas.openxmlformats.org/officeDocument/2006/relationships/hyperlink" Target="https://www.gov.pl/web/nauka/uczelnie-publiczne" TargetMode="External"/><Relationship Id="rId3" Type="http://schemas.openxmlformats.org/officeDocument/2006/relationships/hyperlink" Target="https://www.gov.pl/web/cyfryzacja/udostepniamy-podrecznik-ponowne-wykorzystywanie-informacji-sektora-publicznego" TargetMode="External"/><Relationship Id="rId7" Type="http://schemas.openxmlformats.org/officeDocument/2006/relationships/hyperlink" Target="https://stat.gov.pl/obszary-tematyczne/transport-i-lacznosc/lacznosc/poczta-i-telekomunikacja-wyniki-dzialalnosci-w-2018-r-,2,3.html" TargetMode="External"/><Relationship Id="rId12" Type="http://schemas.openxmlformats.org/officeDocument/2006/relationships/hyperlink" Target="https://www.ulc.gov.pl/_download/regulacja_rynku/statystyki/2018/4-kw-2018/wg_portow_lotniczych_kw42018.pdf" TargetMode="External"/><Relationship Id="rId17"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2" Type="http://schemas.openxmlformats.org/officeDocument/2006/relationships/hyperlink" Target="https://ec.europa.eu/justice/article-29/documentation/opinion%20recommendation/index_en.htm" TargetMode="External"/><Relationship Id="rId16"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20" Type="http://schemas.openxmlformats.org/officeDocument/2006/relationships/hyperlink" Target="https://www.europeandataportal.eu/pl/using-data/benefits-of-open-data" TargetMode="External"/><Relationship Id="rId1" Type="http://schemas.openxmlformats.org/officeDocument/2006/relationships/hyperlink" Target="https://dane.gov.pl/pl/knowledgebase/useful-materials/standardy-otwartosci-danych" TargetMode="External"/><Relationship Id="rId6" Type="http://schemas.openxmlformats.org/officeDocument/2006/relationships/hyperlink" Target="http://creativecommons.org/licenses/" TargetMode="External"/><Relationship Id="rId11" Type="http://schemas.openxmlformats.org/officeDocument/2006/relationships/hyperlink" Target="https://utk.gov.pl/pl/raporty-i-analizy/analizy-i-monitoring/sprawozdania/14357,Sprawozdanie-z-funkcjonowania-rynku-kolejowego-w-2017-r.html" TargetMode="External"/><Relationship Id="rId5" Type="http://schemas.openxmlformats.org/officeDocument/2006/relationships/hyperlink" Target="http://opendefinition.org/" TargetMode="External"/><Relationship Id="rId15"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10" Type="http://schemas.openxmlformats.org/officeDocument/2006/relationships/hyperlink" Target="https://gospodarkamorska.bip.gov.pl/lista-spolek-nadzorowanych/117074_lista-spolek-nadzorowanych.html" TargetMode="External"/><Relationship Id="rId19" Type="http://schemas.openxmlformats.org/officeDocument/2006/relationships/hyperlink" Target="https://www.rgib.org.pl/images/dokumenty/biuletyn/biuletyn_1_2019.pdf" TargetMode="External"/><Relationship Id="rId4" Type="http://schemas.openxmlformats.org/officeDocument/2006/relationships/hyperlink" Target="https://eur-lex.europa.eu/legal%20content/PL/TXT/?uri=CELEX%3A52014XC0724%2801%29" TargetMode="External"/><Relationship Id="rId9"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14"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raczki\AppData\Roaming\Microsoft\Szablony\Szablon%20aktu%20prawnego%204_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50F596790F340F69E9F28CBCC8D36EB"/>
        <w:category>
          <w:name w:val="Ogólne"/>
          <w:gallery w:val="placeholder"/>
        </w:category>
        <w:types>
          <w:type w:val="bbPlcHdr"/>
        </w:types>
        <w:behaviors>
          <w:behavior w:val="content"/>
        </w:behaviors>
        <w:guid w:val="{F01FEBBC-D21D-4890-9B83-498FD9716224}"/>
      </w:docPartPr>
      <w:docPartBody>
        <w:p w:rsidR="00BC7E1F" w:rsidRDefault="005711C6" w:rsidP="005711C6">
          <w:pPr>
            <w:pStyle w:val="850F596790F340F69E9F28CBCC8D36EB"/>
          </w:pPr>
          <w:r w:rsidRPr="008D2484">
            <w:rPr>
              <w:rStyle w:val="Tekstzastpczy"/>
            </w:rPr>
            <w:t>Kliknij tutaj, aby wprowadzić datę.</w:t>
          </w:r>
        </w:p>
      </w:docPartBody>
    </w:docPart>
    <w:docPart>
      <w:docPartPr>
        <w:name w:val="EFA59FA1B4464F6A9DA0BED694F89364"/>
        <w:category>
          <w:name w:val="Ogólne"/>
          <w:gallery w:val="placeholder"/>
        </w:category>
        <w:types>
          <w:type w:val="bbPlcHdr"/>
        </w:types>
        <w:behaviors>
          <w:behavior w:val="content"/>
        </w:behaviors>
        <w:guid w:val="{60755448-CFBF-4385-B188-991456424B7B}"/>
      </w:docPartPr>
      <w:docPartBody>
        <w:p w:rsidR="00BC7E1F" w:rsidRDefault="005711C6" w:rsidP="005711C6">
          <w:pPr>
            <w:pStyle w:val="EFA59FA1B4464F6A9DA0BED694F89364"/>
          </w:pPr>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altName w:val="Cambria Math"/>
    <w:charset w:val="EE"/>
    <w:family w:val="swiss"/>
    <w:pitch w:val="variable"/>
    <w:sig w:usb0="00000001" w:usb1="02000001" w:usb2="00000000" w:usb3="00000000" w:csb0="0000019F" w:csb1="00000000"/>
  </w:font>
  <w:font w:name="La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1C6"/>
    <w:rsid w:val="00016D0C"/>
    <w:rsid w:val="00016F01"/>
    <w:rsid w:val="0004030E"/>
    <w:rsid w:val="0010101D"/>
    <w:rsid w:val="001467AA"/>
    <w:rsid w:val="00187623"/>
    <w:rsid w:val="0019160C"/>
    <w:rsid w:val="001D5BDF"/>
    <w:rsid w:val="001E51B0"/>
    <w:rsid w:val="001F044C"/>
    <w:rsid w:val="001F59B5"/>
    <w:rsid w:val="00200A9E"/>
    <w:rsid w:val="002B5882"/>
    <w:rsid w:val="002C0EB4"/>
    <w:rsid w:val="002C2FEC"/>
    <w:rsid w:val="002C62E9"/>
    <w:rsid w:val="003168C7"/>
    <w:rsid w:val="003532A6"/>
    <w:rsid w:val="00445313"/>
    <w:rsid w:val="004921E3"/>
    <w:rsid w:val="004B1850"/>
    <w:rsid w:val="004B40E3"/>
    <w:rsid w:val="004D5B71"/>
    <w:rsid w:val="00533D39"/>
    <w:rsid w:val="00552ECE"/>
    <w:rsid w:val="005711C6"/>
    <w:rsid w:val="005727D7"/>
    <w:rsid w:val="005D18C3"/>
    <w:rsid w:val="00627E6D"/>
    <w:rsid w:val="006D7C74"/>
    <w:rsid w:val="006F2E7B"/>
    <w:rsid w:val="0075597C"/>
    <w:rsid w:val="007C3311"/>
    <w:rsid w:val="00805755"/>
    <w:rsid w:val="00814FA7"/>
    <w:rsid w:val="00834B94"/>
    <w:rsid w:val="00843D45"/>
    <w:rsid w:val="008737EC"/>
    <w:rsid w:val="008D40E4"/>
    <w:rsid w:val="008D5337"/>
    <w:rsid w:val="008E0C22"/>
    <w:rsid w:val="00913B4D"/>
    <w:rsid w:val="009814C2"/>
    <w:rsid w:val="0098375A"/>
    <w:rsid w:val="00A00B06"/>
    <w:rsid w:val="00A1278A"/>
    <w:rsid w:val="00A50DB9"/>
    <w:rsid w:val="00A66231"/>
    <w:rsid w:val="00A72A5F"/>
    <w:rsid w:val="00AB3443"/>
    <w:rsid w:val="00B5295E"/>
    <w:rsid w:val="00BC7E1F"/>
    <w:rsid w:val="00C04BB7"/>
    <w:rsid w:val="00C30501"/>
    <w:rsid w:val="00C8695F"/>
    <w:rsid w:val="00CD51A8"/>
    <w:rsid w:val="00D03EAE"/>
    <w:rsid w:val="00D2592F"/>
    <w:rsid w:val="00D35AAC"/>
    <w:rsid w:val="00DE7F5E"/>
    <w:rsid w:val="00E12A28"/>
    <w:rsid w:val="00E142F3"/>
    <w:rsid w:val="00E35F87"/>
    <w:rsid w:val="00E4181B"/>
    <w:rsid w:val="00E94546"/>
    <w:rsid w:val="00F24719"/>
    <w:rsid w:val="00F52C4A"/>
    <w:rsid w:val="00F742F4"/>
    <w:rsid w:val="00F92890"/>
    <w:rsid w:val="00FA48EF"/>
    <w:rsid w:val="00FC4C62"/>
    <w:rsid w:val="00FD76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711C6"/>
    <w:rPr>
      <w:color w:val="808080"/>
    </w:rPr>
  </w:style>
  <w:style w:type="paragraph" w:customStyle="1" w:styleId="850F596790F340F69E9F28CBCC8D36EB">
    <w:name w:val="850F596790F340F69E9F28CBCC8D36EB"/>
    <w:rsid w:val="005711C6"/>
  </w:style>
  <w:style w:type="paragraph" w:customStyle="1" w:styleId="EFA59FA1B4464F6A9DA0BED694F89364">
    <w:name w:val="EFA59FA1B4464F6A9DA0BED694F89364"/>
    <w:rsid w:val="005711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95FC8F-4D09-4660-B3D7-ED40F683A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0</TotalTime>
  <Pages>94</Pages>
  <Words>34864</Words>
  <Characters>209185</Characters>
  <Application>Microsoft Office Word</Application>
  <DocSecurity>0</DocSecurity>
  <Lines>1743</Lines>
  <Paragraphs>487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243562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Gapska-Szczygieł Małgorzata</dc:creator>
  <cp:lastModifiedBy>Frączkiewicz Michał</cp:lastModifiedBy>
  <cp:revision>2</cp:revision>
  <cp:lastPrinted>2021-01-04T07:47:00Z</cp:lastPrinted>
  <dcterms:created xsi:type="dcterms:W3CDTF">2021-01-08T12:54:00Z</dcterms:created>
  <dcterms:modified xsi:type="dcterms:W3CDTF">2021-01-08T12:54:00Z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